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 xml:space="preserve">Проект</w:t>
      </w:r>
      <w:r>
        <w:rPr>
          <w:highlight w:val="none"/>
        </w:rPr>
      </w:r>
      <w:r/>
    </w:p>
    <w:p>
      <w:pPr>
        <w:pStyle w:val="1029"/>
        <w:ind w:right="-1"/>
        <w:jc w:val="center"/>
        <w:rPr>
          <w:szCs w:val="28"/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/>
    </w:p>
    <w:p>
      <w:pPr>
        <w:pStyle w:val="1029"/>
        <w:ind w:right="-1"/>
        <w:jc w:val="center"/>
        <w:rPr>
          <w:b/>
          <w:szCs w:val="28"/>
          <w:highlight w:val="none"/>
        </w:rPr>
      </w:pPr>
      <w:r>
        <w:rPr>
          <w:b/>
          <w:szCs w:val="28"/>
          <w:highlight w:val="none"/>
        </w:rPr>
        <w:t xml:space="preserve">ПРАВИТЕЛЬСТВО ЕВРЕЙСКОЙ АВТОНОМНОЙ ОБЛАСТИ </w:t>
      </w:r>
      <w:r>
        <w:rPr>
          <w:highlight w:val="none"/>
        </w:rPr>
      </w:r>
      <w:r/>
    </w:p>
    <w:p>
      <w:pPr>
        <w:pStyle w:val="829"/>
        <w:ind w:right="-1"/>
        <w:jc w:val="center"/>
        <w:spacing w:before="0"/>
        <w:rPr>
          <w:rFonts w:ascii="Times New Roman" w:hAnsi="Times New Roman"/>
          <w:color w:val="000000"/>
          <w:spacing w:val="40"/>
          <w:highlight w:val="none"/>
        </w:rPr>
      </w:pPr>
      <w:r>
        <w:rPr>
          <w:rFonts w:ascii="Times New Roman" w:hAnsi="Times New Roman"/>
          <w:color w:val="000000"/>
          <w:spacing w:val="40"/>
          <w:highlight w:val="none"/>
        </w:rPr>
      </w:r>
      <w:r>
        <w:rPr>
          <w:highlight w:val="none"/>
        </w:rPr>
      </w:r>
      <w:r/>
    </w:p>
    <w:p>
      <w:pPr>
        <w:pStyle w:val="829"/>
        <w:ind w:right="-1"/>
        <w:jc w:val="center"/>
        <w:spacing w:before="0"/>
        <w:rPr>
          <w:rFonts w:ascii="Times New Roman" w:hAnsi="Times New Roman"/>
          <w:bCs w:val="0"/>
          <w:color w:val="000000"/>
          <w:spacing w:val="40"/>
          <w:highlight w:val="none"/>
        </w:rPr>
      </w:pPr>
      <w:r>
        <w:rPr>
          <w:rFonts w:ascii="Times New Roman" w:hAnsi="Times New Roman"/>
          <w:color w:val="000000"/>
          <w:spacing w:val="40"/>
          <w:highlight w:val="none"/>
        </w:rPr>
        <w:t xml:space="preserve">РАСПОРЯЖЕНИЕ</w:t>
      </w:r>
      <w:r>
        <w:rPr>
          <w:highlight w:val="none"/>
        </w:rPr>
      </w:r>
      <w:r/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 xml:space="preserve">_________________                                                                              № ________</w:t>
      </w:r>
      <w:r>
        <w:rPr>
          <w:highlight w:val="none"/>
        </w:rPr>
      </w:r>
      <w:r/>
    </w:p>
    <w:p>
      <w:pPr>
        <w:ind w:right="-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-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 xml:space="preserve">г. Биробиджан</w:t>
      </w:r>
      <w:r>
        <w:rPr>
          <w:highlight w:val="none"/>
        </w:rPr>
      </w:r>
      <w:r/>
    </w:p>
    <w:p>
      <w:pPr>
        <w:ind w:right="-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 утверждении региональной программы </w:t>
      </w:r>
      <w:r>
        <w:rPr>
          <w:sz w:val="28"/>
          <w:szCs w:val="28"/>
          <w:highlight w:val="none"/>
        </w:rPr>
        <w:t xml:space="preserve">Еврейской автономной области «Поэтапная ликвидация до 2030 года образовавшейся задолженности                              по обеспечению жилыми помещениями детей-сирот и детей, оставшихся                      без попечения родителей, лиц из числа детей-сир</w:t>
      </w:r>
      <w:r>
        <w:rPr>
          <w:sz w:val="28"/>
          <w:szCs w:val="28"/>
          <w:highlight w:val="none"/>
        </w:rPr>
        <w:t xml:space="preserve">от и детей, оставшихся                            без попечения родителей, лиц, которые относились к категории детей-сирот                                                        и детей, оставшихся без попечения родителей, лиц из числа детей-сирот         </w:t>
      </w:r>
      <w:r>
        <w:rPr>
          <w:sz w:val="28"/>
          <w:szCs w:val="28"/>
          <w:highlight w:val="none"/>
        </w:rPr>
        <w:t xml:space="preserve">                    и детей, оставшихся без попечения родителей, и достигли возраста 23 лет»                         на 2024 – 2030 годы</w:t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</w:r>
      <w:r>
        <w:rPr>
          <w:highlight w:val="none"/>
        </w:rPr>
      </w:r>
      <w:r/>
    </w:p>
    <w:p>
      <w:pPr>
        <w:ind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 исполнение пункта 2 поручения Председателя Правительства Российской Федерации от 30.03.2023 № ММ-П8-4467 по ра</w:t>
      </w:r>
      <w:r>
        <w:rPr>
          <w:sz w:val="28"/>
          <w:szCs w:val="28"/>
          <w:highlight w:val="none"/>
        </w:rPr>
        <w:t xml:space="preserve">зработке региональной программы поэтапной ликвидации до 2030 года задолженности                                  по обеспечению жилыми помещениями детей-сирот и детей, оставшихся                         без попечения родителей, лиц из числа</w:t>
      </w:r>
      <w:r>
        <w:rPr>
          <w:sz w:val="28"/>
          <w:szCs w:val="28"/>
          <w:highlight w:val="none"/>
        </w:rPr>
        <w:t xml:space="preserve"> детей-сирот и детей, оставшихся                         без попечения родителей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</w:t>
      </w:r>
      <w:r>
        <w:rPr>
          <w:sz w:val="28"/>
          <w:szCs w:val="28"/>
          <w:highlight w:val="none"/>
        </w:rPr>
        <w:t xml:space="preserve">ь </w:t>
      </w:r>
      <w:r>
        <w:rPr>
          <w:sz w:val="28"/>
          <w:szCs w:val="28"/>
          <w:highlight w:val="none"/>
        </w:rPr>
        <w:t xml:space="preserve">прилагаемую</w:t>
      </w:r>
      <w:r>
        <w:rPr>
          <w:sz w:val="28"/>
          <w:szCs w:val="28"/>
          <w:highlight w:val="none"/>
        </w:rPr>
        <w:t xml:space="preserve"> региональную программу Еврейской автономной области «Поэтапная ликвидация до 2030 года образовавшейся задолженности по обеспечению жилыми помещениями детей-сирот                                           и детей, оставшихся без попечения родителе</w:t>
      </w:r>
      <w:r>
        <w:rPr>
          <w:sz w:val="28"/>
          <w:szCs w:val="28"/>
          <w:highlight w:val="none"/>
        </w:rPr>
        <w:t xml:space="preserve">й, лиц из числа детей-сирот                           и детей, оставшихся без попечения родителей, лиц, которые относились                            к категории детей-сирот и детей, оставшихся без попечения родителей,                          лиц из ч</w:t>
      </w:r>
      <w:r>
        <w:rPr>
          <w:sz w:val="28"/>
          <w:szCs w:val="28"/>
          <w:highlight w:val="none"/>
        </w:rPr>
        <w:t xml:space="preserve">исла детей-сирот и детей, оставшихся без попечения родителей,                          и достигли возраста 23 лет» на 2024 – 2030 годы.</w:t>
      </w:r>
      <w:r>
        <w:rPr>
          <w:highlight w:val="none"/>
        </w:rPr>
      </w:r>
      <w:r/>
    </w:p>
    <w:p>
      <w:pPr>
        <w:pStyle w:val="1031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Настоящее распоряжение вступает в силу со дня его подписания,                       но 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ранее 01 января 2024 года.</w:t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-1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-1"/>
        <w:rPr>
          <w:bCs/>
          <w:iCs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bCs/>
          <w:iCs/>
          <w:sz w:val="28"/>
          <w:szCs w:val="28"/>
          <w:highlight w:val="none"/>
        </w:rPr>
        <w:t xml:space="preserve">Губернатор области                                                                      Р.Э. Гольдштейн</w:t>
      </w:r>
      <w:r>
        <w:rPr>
          <w:bCs/>
          <w:iCs/>
          <w:sz w:val="28"/>
          <w:szCs w:val="28"/>
          <w:highlight w:val="none"/>
        </w:rPr>
      </w:r>
      <w:r/>
    </w:p>
    <w:p>
      <w:pPr>
        <w:ind w:right="-1"/>
        <w:jc w:val="both"/>
        <w:tabs>
          <w:tab w:val="left" w:pos="5529" w:leader="none"/>
        </w:tabs>
        <w:rPr>
          <w:b w:val="0"/>
          <w:bCs w:val="0"/>
          <w:iCs/>
          <w:sz w:val="28"/>
          <w:szCs w:val="28"/>
          <w:highlight w:val="none"/>
        </w:rPr>
      </w:pPr>
      <w:r>
        <w:rPr>
          <w:bCs/>
          <w:iCs/>
          <w:sz w:val="28"/>
          <w:szCs w:val="28"/>
          <w:highlight w:val="none"/>
        </w:rPr>
        <w:t xml:space="preserve">               </w:t>
      </w: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                         </w:t>
      </w:r>
      <w:r>
        <w:rPr>
          <w:b w:val="0"/>
          <w:bCs w:val="0"/>
          <w:iCs/>
          <w:sz w:val="28"/>
          <w:szCs w:val="28"/>
          <w:highlight w:val="none"/>
        </w:rPr>
        <w:t xml:space="preserve">       УТВЕРЖДЕНА</w:t>
      </w:r>
      <w:r>
        <w:rPr>
          <w:b w:val="0"/>
          <w:bCs w:val="0"/>
          <w:highlight w:val="none"/>
        </w:rPr>
      </w:r>
      <w:r/>
    </w:p>
    <w:p>
      <w:pPr>
        <w:ind w:right="-1"/>
        <w:jc w:val="both"/>
        <w:tabs>
          <w:tab w:val="left" w:pos="552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right="-1"/>
        <w:jc w:val="both"/>
        <w:rPr>
          <w:b w:val="0"/>
          <w:bCs w:val="0"/>
          <w:iCs/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                                               Распоряжением правительства</w:t>
      </w:r>
      <w:r>
        <w:rPr>
          <w:b w:val="0"/>
          <w:bCs w:val="0"/>
          <w:highlight w:val="none"/>
        </w:rPr>
      </w:r>
      <w:r/>
    </w:p>
    <w:p>
      <w:pPr>
        <w:ind w:right="-1"/>
        <w:jc w:val="both"/>
        <w:rPr>
          <w:b w:val="0"/>
          <w:bCs w:val="0"/>
          <w:iCs/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                     </w:t>
      </w: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Еврейской автономной области </w:t>
      </w:r>
      <w:r>
        <w:rPr>
          <w:b w:val="0"/>
          <w:bCs w:val="0"/>
          <w:highlight w:val="none"/>
        </w:rPr>
      </w:r>
      <w:r/>
    </w:p>
    <w:p>
      <w:pPr>
        <w:ind w:right="-1"/>
        <w:jc w:val="both"/>
        <w:tabs>
          <w:tab w:val="left" w:pos="9356" w:leader="none"/>
        </w:tabs>
        <w:rPr>
          <w:b w:val="0"/>
          <w:bCs w:val="0"/>
          <w:iCs/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                                               от _______________ № ______</w:t>
      </w:r>
      <w:r>
        <w:rPr>
          <w:b w:val="0"/>
          <w:bCs w:val="0"/>
          <w:highlight w:val="none"/>
        </w:rPr>
      </w:r>
      <w:r/>
    </w:p>
    <w:p>
      <w:pPr>
        <w:ind w:right="-1"/>
        <w:rPr>
          <w:b w:val="0"/>
          <w:bCs w:val="0"/>
          <w:iCs/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  <w:highlight w:val="none"/>
        </w:rPr>
        <w:t xml:space="preserve">                                                                   </w:t>
      </w:r>
      <w:r>
        <w:rPr>
          <w:b w:val="0"/>
          <w:bCs w:val="0"/>
          <w:highlight w:val="none"/>
        </w:rPr>
      </w:r>
      <w:r/>
    </w:p>
    <w:p>
      <w:pPr>
        <w:ind w:right="-1"/>
        <w:jc w:val="center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right="-1"/>
        <w:jc w:val="center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Региональная программа</w:t>
      </w:r>
      <w:r>
        <w:rPr>
          <w:b w:val="0"/>
          <w:bCs w:val="0"/>
          <w:sz w:val="28"/>
          <w:szCs w:val="28"/>
          <w:highlight w:val="none"/>
        </w:rPr>
        <w:t xml:space="preserve"> Еврейской автономной области </w:t>
      </w:r>
      <w:r>
        <w:rPr>
          <w:b w:val="0"/>
          <w:bCs w:val="0"/>
          <w:highlight w:val="none"/>
        </w:rPr>
      </w:r>
      <w:r/>
    </w:p>
    <w:p>
      <w:pPr>
        <w:ind w:right="-1"/>
        <w:jc w:val="center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«Поэтапная ликвидация до 2030 года образовавшейся задолженности                              по обеспечению жилыми помещениями детей-сирот и детей, оставшихся                      без попечения родителей, лиц из числа детей-с</w:t>
      </w:r>
      <w:r>
        <w:rPr>
          <w:b w:val="0"/>
          <w:bCs w:val="0"/>
          <w:sz w:val="28"/>
          <w:szCs w:val="28"/>
          <w:highlight w:val="none"/>
        </w:rPr>
        <w:t xml:space="preserve">ирот и детей, оставшихся                            без попечения родителей, лиц, которые относились к категории детей-сирот                                                        и детей, оставшихся без попечения родителей, лиц из числа детей-сирот       </w:t>
      </w:r>
      <w:r>
        <w:rPr>
          <w:b w:val="0"/>
          <w:bCs w:val="0"/>
          <w:sz w:val="28"/>
          <w:szCs w:val="28"/>
          <w:highlight w:val="none"/>
        </w:rPr>
        <w:t xml:space="preserve">                      и детей, оставшихся без попечения родителей, и достигли возраста 23 лет»                         на 2024 – 2030 годы</w:t>
      </w:r>
      <w:r>
        <w:rPr>
          <w:b w:val="0"/>
          <w:bCs w:val="0"/>
          <w:highlight w:val="none"/>
        </w:rPr>
      </w:r>
      <w:r/>
    </w:p>
    <w:p>
      <w:pPr>
        <w:ind w:right="-1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6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Основные положения региональной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6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6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«Поэтапная ликвидация до 2030 года образовавшейся задолженности                              по обеспечению жилыми помещениями детей-сирот и детей, оставшихся                      без попечения родителей, лиц из числа детей-с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ирот и детей, оставшихся                            без попечения родителей, лиц, которые относились к категории детей-сирот                                                        и детей, оставшихся без попечения родителей, лиц из числа детей-сирот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и детей, оставшихся без попечения родителей, и достигли возраста 23 лет»  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Региональная программа Еврейской автономной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«Поэтапная ликвидация до 2030 года образовавшейся задолженности по обеспечению жилыми помещениями детей-сирот и детей, оставшихся без попечения родителе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й, лиц из числа детей-сирот и детей, оставшихся без попечения родителей, лиц, которые относились к категории детей-сирот                                                   и детей, оставшихся без попечения родителей, лиц из 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исла детей-сирот                               и детей, оставшихся без попечения родителей, и достигли возраста 23 лет»          на 2024 – 2030 годы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(далее – региональная программа) подготовлена                               с целью выработки мер по увеличению количества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детей-сирот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и детей, оставшихся без попечения родителей, лиц из числа детей-сирот                                      и детей, оставшихся без попечения родителей, лиц, которые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относились                                           к категории детей-сирот и детей, остав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шихся без попечения родителей,                                 лиц из числа детей-сирот и детей, оставшихся без попечения родителей,                                 и достигли возраста 23 лет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 (далее – дети-сироты и лица из их числа), которым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предоставлены жилые помещения специализированного    жилищного фонда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договорам найма специализированных                                    жилых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помещений на территории Еврейской автономной области                                     (далее – область).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Региональная программа включает в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ебя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характеристику деятельности                                                 по предоставлению жилых помещений детям-сиротам и лицам из их числа,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перечень реализуемых в области мероприятий, направленных                                                       на активизацию данной деятельности,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перечень новых мероприятий, призванных обеспечить поэтапную ликвидацию до 2030 года образовавшейся задолженности по предоставлению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жилых помещений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детям-сиротам                                     и детям, оставшимся без попечения родителей,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 также определение                             целевых показателей указанной деятельности в области на период                                      2024 – 2030 годов.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Цель региональной программы – выработка эффективных мер, направленных 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поэтапную до 2030 года ликвидацию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образовавшейся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задолженности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обеспечению жилыми помещениями детей-сирот                                       и лиц из их числ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а также определение целевых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показателей                                       данной деятельности в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Задачи региональной программы: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создание в области условий для поэтапного сокращения численности 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етей-сирот и лиц из их числа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нуждающихся в предоставлении                                   жилых помещений;</w:t>
      </w:r>
      <w:r>
        <w:rPr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координация деятельности органов исполни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тельной власти области, формируемых правительством, в части достижения показателей                                        по поэтапной ликвидации до 2030 года образовавшейся задолженности                            по обеспечению жилыми помещениями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детей-сирот и лиц из их числа.</w:t>
      </w:r>
      <w:r>
        <w:rPr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Сроки реализации региональной программы –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bidi="ru-RU"/>
        </w:rPr>
        <w:t xml:space="preserve">в период с 2024 года                             по 2030 год включительно (этапы не выделяются).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Разработчик региональной программы – правительство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Основание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разработки региональной программы: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 2 поручения Председателя Правительства                          Российской Федерации от 30.03.2023 № ММ-П8-4467;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Федеральный закон от 21.12.96 № 159-ФЗ                                               «О дополнительных гарантиях по социальной поддержке детей-сирот                            и детей, оставшихся без попечения родителей»;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постановление Правительства Россий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ской Федерации                              от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04.04.2019 № 397 «О формировании списка детей-сирот                                                           и детей, оставшихся без попечения родителей, лиц из числа детей-сирот                              и детей, оставшихся без попечения родителей, 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иц, ко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торые относились                              к категории детей-сирот и детей, оставшихся без попечения родителей,                          лиц из числа детей-сирот и детей, оставшихся без попечения родителей,                            и достигли возраста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23 лет, 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оторые подлежат обеспечению                                  жилыми помещениями, исключении детей-сирот и детей, оставшихся                              без попечения родителей, лиц из числа детей-сирот и детей, оставшихся                            без по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печения родителей, из списка в субъекте Российской Федерации                                   по прежнему месту жительства и включении их в список в субъекте                             Российской Федерации по новому месту жительства»;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d0d0d"/>
          <w:sz w:val="28"/>
          <w:szCs w:val="28"/>
          <w:highlight w:val="none"/>
        </w:rPr>
        <w:t xml:space="preserve">закон </w:t>
      </w:r>
      <w:r>
        <w:rPr>
          <w:rFonts w:ascii="Times New Roman" w:hAnsi="Times New Roman" w:cs="Times New Roman"/>
          <w:b w:val="0"/>
          <w:bCs w:val="0"/>
          <w:color w:val="0d0d0d"/>
          <w:sz w:val="28"/>
          <w:szCs w:val="28"/>
          <w:highlight w:val="none"/>
        </w:rPr>
        <w:t xml:space="preserve">области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от 28.03.2014 № 488-ОЗ «О дополнительных мерах социальной поддержки детей-сирот и детей, оставшихся без попечения родителей, в Еврейской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автономной области»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(далее – закон области                                          № 488-ОЗ)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d0d0d"/>
          <w:sz w:val="28"/>
          <w:szCs w:val="28"/>
          <w:highlight w:val="none"/>
        </w:rPr>
        <w:t xml:space="preserve">закон </w:t>
      </w:r>
      <w:r>
        <w:rPr>
          <w:rFonts w:ascii="Times New Roman" w:hAnsi="Times New Roman" w:cs="Times New Roman"/>
          <w:b w:val="0"/>
          <w:bCs w:val="0"/>
          <w:color w:val="0d0d0d"/>
          <w:sz w:val="28"/>
          <w:szCs w:val="28"/>
          <w:highlight w:val="none"/>
        </w:rPr>
        <w:t xml:space="preserve">области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от 29.04.2022 № 83-ОЗ «О дополнительной мере социальной поддержки лиц, которые относились к категории детей-сирот                             и детей, оставшихся без попечения родителей, лиц из числа детей-сирот                 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                     и детей, оставшихся без попечения родителей, подлежащих обеспечению жилыми помещениями в Еврейской автономной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распоряжение правительства области от 22.04.2020 № 160-рп                         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«Об утверждении Плана мероприятий («дорожной карты»)                                                  на 2020 – 2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025 годы по совершенствованию работы по обеспечению                          детей-сирот и детей, оставшихся без попечения родителей, лиц из числа детей-сирот и детей, оставшихся без попечения родителей,                                       жилыми помещен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иями на территории Еврейской автономной области»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Ответственный исполнитель региональной программы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социальной защиты населения 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Соисполнители региональной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по управлению государственным имуществом области;</w:t>
      </w:r>
      <w:r>
        <w:rPr>
          <w:highlight w:val="none"/>
        </w:rPr>
      </w:r>
      <w:r/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строительства и жилищно-коммунального хозяйства правительства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Участники региональной программы: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709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департамент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образования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- департамент здравоохранения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правительства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культуры правительства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-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областны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е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государственны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е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учреждения, функции и полномочия учредителя которых осуществляет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социальной защиты населения 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-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областны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е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государственны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е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highlight w:val="none"/>
          <w:lang w:eastAsia="zh-CN"/>
        </w:rPr>
        <w:t xml:space="preserve">учреждения, функции и полномочия учредителя которых осуществляет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 образования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областное государственное профессиональное образовательное бюджетное учреждение «Биробиджанский медицинский колледж»;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областное государственное профессиональное образовательное бюджетное учреждение «Биробиджанский колледж культуры и искусств».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Финансирование мероприятий региональной программы области осуществляется в рамках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государственной программы области «Жилище»                              на 2021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2028 годы, утвержденной 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постановлением правительства области от 02.12.2020 № 463-пп «Об у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тверждении государственной программы Еврейской автономной области «Жилище» на 2021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2028 годы».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Общий объем финансирования региональной программы составляет 858 156,3 тыс. рублей, из них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-1" w:firstLine="709"/>
        <w:jc w:val="both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объем средств федерального бюджета 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529 417,7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тыс. рублей,                                         в том числе по годам: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2024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72 701,9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2025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2026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2027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2028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2029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2030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76 119,3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объем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средств областного бюджета 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328 738,6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рублей,                                             в том числе по годам: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2024 год – 46 637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,2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2025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2026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2027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2028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2029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рублей;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/>
    </w:p>
    <w:p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2030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47 016,9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 тыс.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Главные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распорядители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бюджетных средств: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 управлению государственным имуществом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департамент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социальной защиты населения правительства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Целевые показатели региональной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доля нуждавшихся в обеспечении жилыми помещениями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детей-сирот и лиц из их числа,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которым предоставлены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жилые помещения                                                за отчетный год, в общей численности детей-сирот и лиц из их числа, подлежащих обеспечен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ию жилыми помещениями (процент);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количество жилых помещений в многоквартирных домах, построенных в целях включения данных помещений                                          в специализированный жилищный фонд, для предос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тавления их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договорам найма специализированных жилых помещений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детям-сиротам и лицам из их числа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количество предоставленных жилых помещений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специализированного жилищного фонда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договорам найма специализированных жилых помещений детям-сиротам                                     и лицам из их числа,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которые приобретены за счет средств федерального                          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областного бюджетов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численность лиц, которые относились к категории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которым предоставлена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социальная выплата                                                на приобретение жилого помещения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на территории области в собственность          в соответствии с законом области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от 29.04.2022 № 83-ОЗ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«О дополнительной мере социальной поддержки лиц, котор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ые относились к категории                             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Еврейской автономной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Ожидаемые результаты реализации региональной программы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поэтапная ликвидация до 2030 года образовавшейся задолженности                              путем предоставления жилых помещений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специализированного жилищного фонда по договорам найма специализированных жилых помещений                               либо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социальной выплаты на приобретение жилого помещения                                          на территории области в собственность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детям-сиротам и лицам из их числа: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2024 году – 29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2025 году – 28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2026 году – 65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2027 году – 65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2028 году – 65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2029 году – 65 человек;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030 году – 65 человек.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2.</w:t>
      </w:r>
      <w:r>
        <w:rPr>
          <w:b w:val="0"/>
          <w:bCs w:val="0"/>
          <w:color w:val="000000"/>
          <w:highlight w:val="none"/>
          <w:lang w:bidi="ru-RU"/>
        </w:rPr>
        <w:t xml:space="preserve"> </w:t>
      </w:r>
      <w:r>
        <w:rPr>
          <w:b w:val="0"/>
          <w:bCs w:val="0"/>
          <w:highlight w:val="none"/>
        </w:rPr>
        <w:t xml:space="preserve">Характеристика деятельности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по </w:t>
      </w:r>
      <w:r>
        <w:rPr>
          <w:b w:val="0"/>
          <w:bCs w:val="0"/>
          <w:highlight w:val="none"/>
        </w:rPr>
        <w:t xml:space="preserve">предоставлению жилых помещений</w:t>
      </w:r>
      <w:r>
        <w:rPr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 детям-сиротам и лицам из их числа</w:t>
      </w:r>
      <w:r>
        <w:rPr>
          <w:b w:val="0"/>
          <w:bCs w:val="0"/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Одной из целей государственной политики в области социальной </w:t>
      </w:r>
      <w:r>
        <w:rPr>
          <w:b w:val="0"/>
          <w:bCs w:val="0"/>
          <w:color w:val="000000"/>
          <w:highlight w:val="none"/>
          <w:lang w:bidi="ru-RU"/>
        </w:rPr>
        <w:t xml:space="preserve">защиты является обеспечение жилыми помещениями детей-сирот                                                </w:t>
      </w:r>
      <w:r>
        <w:rPr>
          <w:b w:val="0"/>
          <w:bCs w:val="0"/>
          <w:color w:val="000000"/>
          <w:highlight w:val="none"/>
          <w:lang w:bidi="ru-RU"/>
        </w:rPr>
        <w:t xml:space="preserve">и </w:t>
      </w:r>
      <w:r>
        <w:rPr>
          <w:b w:val="0"/>
          <w:bCs w:val="0"/>
          <w:color w:val="000000"/>
          <w:highlight w:val="none"/>
          <w:lang w:bidi="ru-RU"/>
        </w:rPr>
        <w:t xml:space="preserve">лиц из их числа.</w:t>
      </w:r>
      <w:r>
        <w:rPr>
          <w:b w:val="0"/>
          <w:bCs w:val="0"/>
          <w:color w:val="00000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Пунктами 1 и 9 статьи </w:t>
      </w:r>
      <w:r>
        <w:rPr>
          <w:b w:val="0"/>
          <w:bCs w:val="0"/>
          <w:color w:val="000000"/>
          <w:highlight w:val="none"/>
          <w:lang w:bidi="ru-RU"/>
        </w:rPr>
        <w:t xml:space="preserve">8 Федерального закона от 21.12.96 № 159-ФЗ                         «О дополнительных гарантиях по социальной поддержке детей-сирот                             и детей, оставшихся без попечения родителей» (далее – Федеральный закон № 159-ФЗ) установлено, чт</w:t>
      </w:r>
      <w:r>
        <w:rPr>
          <w:b w:val="0"/>
          <w:bCs w:val="0"/>
          <w:color w:val="000000"/>
          <w:highlight w:val="none"/>
          <w:lang w:bidi="ru-RU"/>
        </w:rPr>
        <w:t xml:space="preserve">о детям-сиротам и лицам из их числа                          органом исполнительной власти субъекта Российской Федерации,                              на территории которого находится место жительства указанных лиц,                             в порядке, у</w:t>
      </w:r>
      <w:r>
        <w:rPr>
          <w:b w:val="0"/>
          <w:bCs w:val="0"/>
          <w:color w:val="000000"/>
          <w:highlight w:val="none"/>
          <w:lang w:bidi="ru-RU"/>
        </w:rPr>
        <w:t xml:space="preserve">становленном законодательством этого субъекта                              Российской Федерации, однократно предоставляются благоустроенные                                     жилые помещения специализированного жилищного фонда по договорам найма специализ</w:t>
      </w:r>
      <w:r>
        <w:rPr>
          <w:b w:val="0"/>
          <w:bCs w:val="0"/>
          <w:color w:val="000000"/>
          <w:highlight w:val="none"/>
          <w:lang w:bidi="ru-RU"/>
        </w:rPr>
        <w:t xml:space="preserve">ированных жилых помещений. 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лиц из их числа и достигли возраста 23 лет, до фактич</w:t>
      </w:r>
      <w:r>
        <w:rPr>
          <w:b w:val="0"/>
          <w:bCs w:val="0"/>
          <w:color w:val="000000"/>
          <w:highlight w:val="none"/>
          <w:lang w:bidi="ru-RU"/>
        </w:rPr>
        <w:t xml:space="preserve">еского обеспечения их жилыми помещениями.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По состоянию на 01 января 2023 года</w:t>
      </w:r>
      <w:r>
        <w:rPr>
          <w:b w:val="0"/>
          <w:bCs w:val="0"/>
          <w:color w:val="0d0d0d"/>
          <w:highlight w:val="none"/>
        </w:rPr>
        <w:t xml:space="preserve"> в </w:t>
      </w:r>
      <w:r>
        <w:rPr>
          <w:b w:val="0"/>
          <w:bCs w:val="0"/>
          <w:highlight w:val="none"/>
        </w:rPr>
        <w:t xml:space="preserve">список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 </w:t>
      </w:r>
      <w:r>
        <w:rPr>
          <w:b w:val="0"/>
          <w:bCs w:val="0"/>
          <w:color w:val="000000"/>
          <w:highlight w:val="none"/>
          <w:lang w:bidi="ru-RU"/>
        </w:rPr>
        <w:t xml:space="preserve">список детей-сирот                                  и лиц из их числа,</w:t>
      </w:r>
      <w:r>
        <w:rPr>
          <w:b w:val="0"/>
          <w:bCs w:val="0"/>
          <w:color w:val="000000"/>
          <w:highlight w:val="none"/>
          <w:lang w:bidi="ru-RU"/>
        </w:rPr>
        <w:t xml:space="preserve"> которые подлежат обеспечению жилыми помещениями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,</w:t>
      </w:r>
      <w:r>
        <w:rPr>
          <w:b w:val="0"/>
          <w:bCs w:val="0"/>
          <w:highlight w:val="none"/>
        </w:rPr>
        <w:t xml:space="preserve"> включены сведения о 1 163 человеках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 (по состоянию на 01 июля                                   2023 года – 1 177)</w:t>
      </w:r>
      <w:r>
        <w:rPr>
          <w:b w:val="0"/>
          <w:bCs w:val="0"/>
          <w:highlight w:val="none"/>
        </w:rPr>
        <w:t xml:space="preserve">, из них у 970 человек возникли основания                                               дл</w:t>
      </w:r>
      <w:r>
        <w:rPr>
          <w:b w:val="0"/>
          <w:bCs w:val="0"/>
          <w:highlight w:val="none"/>
        </w:rPr>
        <w:t xml:space="preserve">я предоставления им жилых помещений специализированного жилищного фонда</w:t>
      </w:r>
      <w:r>
        <w:rPr>
          <w:b w:val="0"/>
          <w:bCs w:val="0"/>
          <w:color w:val="0d0d0d"/>
          <w:highlight w:val="none"/>
        </w:rPr>
        <w:t xml:space="preserve"> по договорам найма специализированных жилых помещений 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                                 на территории области </w:t>
      </w:r>
      <w:r>
        <w:rPr>
          <w:b w:val="0"/>
          <w:bCs w:val="0"/>
          <w:color w:val="0d0d0d"/>
          <w:highlight w:val="none"/>
        </w:rPr>
        <w:t xml:space="preserve">(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981)</w:t>
      </w:r>
      <w:r>
        <w:rPr>
          <w:b w:val="0"/>
          <w:bCs w:val="0"/>
          <w:color w:val="0d0d0d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На указанную дату правительству </w:t>
      </w:r>
      <w:r>
        <w:rPr>
          <w:b w:val="0"/>
          <w:bCs w:val="0"/>
          <w:color w:val="000000"/>
          <w:highlight w:val="none"/>
          <w:lang w:bidi="ru-RU"/>
        </w:rPr>
        <w:t xml:space="preserve">области необходимо было исполнить 362 (377) решения суда о возложении обязанности предоставить                                жилое помещение 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детям-сиротам и лицам из их числа</w:t>
      </w:r>
      <w:r>
        <w:rPr>
          <w:b w:val="0"/>
          <w:bCs w:val="0"/>
          <w:color w:val="000000"/>
          <w:highlight w:val="none"/>
          <w:lang w:bidi="ru-RU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На сегодняшний день проблема обеспечения жилыми помещениями </w:t>
      </w:r>
      <w:r>
        <w:rPr>
          <w:rFonts w:eastAsia="Tahoma"/>
          <w:b w:val="0"/>
          <w:bCs w:val="0"/>
          <w:color w:val="000000"/>
          <w:highlight w:val="none"/>
          <w:lang w:bidi="ru-RU"/>
        </w:rPr>
        <w:t xml:space="preserve">детей-сирот и лиц из их числа</w:t>
      </w:r>
      <w:r>
        <w:rPr>
          <w:b w:val="0"/>
          <w:bCs w:val="0"/>
          <w:color w:val="000000"/>
          <w:highlight w:val="none"/>
          <w:lang w:bidi="ru-RU"/>
        </w:rPr>
        <w:t xml:space="preserve"> является актуальной и находится                                       на особом контроле.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Мероприятия региональной программы направлены на поэтапную ликвидацию до 2030 года образовавшейся задолженности по предоставлению жилых помещений детям-сиротам и лиц</w:t>
      </w:r>
      <w:r>
        <w:rPr>
          <w:b w:val="0"/>
          <w:bCs w:val="0"/>
          <w:color w:val="000000"/>
          <w:highlight w:val="none"/>
          <w:lang w:bidi="ru-RU"/>
        </w:rPr>
        <w:t xml:space="preserve">ам из их числа, сведения о которых включены в список детей-сирот и лиц из их числа, </w:t>
      </w:r>
      <w:r>
        <w:rPr>
          <w:b w:val="0"/>
          <w:bCs w:val="0"/>
          <w:color w:val="000000"/>
          <w:highlight w:val="none"/>
          <w:lang w:bidi="ru-RU"/>
        </w:rPr>
        <w:t xml:space="preserve">которые подлежат обеспечению жилыми помещениями специализирова</w:t>
      </w:r>
      <w:r>
        <w:rPr>
          <w:b w:val="0"/>
          <w:bCs w:val="0"/>
          <w:color w:val="000000"/>
          <w:highlight w:val="none"/>
          <w:lang w:bidi="ru-RU"/>
        </w:rPr>
        <w:t xml:space="preserve">нного жилищного фонда по договорам найма специализированных жилых помещений                                            на территории области.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Региональная программа предусматривает реализацию комплекса взаимосвязанных и скоординированных мероприятий, позволяющих формировать опе</w:t>
      </w:r>
      <w:r>
        <w:rPr>
          <w:b w:val="0"/>
          <w:bCs w:val="0"/>
          <w:color w:val="000000"/>
          <w:highlight w:val="none"/>
          <w:lang w:bidi="ru-RU"/>
        </w:rPr>
        <w:t xml:space="preserve">ративное решение вопросов по реализации права                          детей-сирот и лиц из их числа на жилое помещение, а также наиболее эффективное расходование средств федерального и областного бюджетов</w:t>
      </w:r>
      <w:r>
        <w:rPr>
          <w:b w:val="0"/>
          <w:bCs w:val="0"/>
          <w:color w:val="000000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Комплекс мер включает в себя мероприятия, направл</w:t>
      </w:r>
      <w:r>
        <w:rPr>
          <w:b w:val="0"/>
          <w:bCs w:val="0"/>
          <w:color w:val="000000"/>
          <w:highlight w:val="none"/>
          <w:lang w:bidi="ru-RU"/>
        </w:rPr>
        <w:t xml:space="preserve">енные                                    на совершенствование законодательства области в части порядка предоставления жилых помещений детям-сиротам и лицам из их числа, меж</w:t>
      </w:r>
      <w:r>
        <w:rPr>
          <w:b w:val="0"/>
          <w:bCs w:val="0"/>
          <w:color w:val="000000"/>
          <w:highlight w:val="none"/>
          <w:lang w:bidi="ru-RU"/>
        </w:rPr>
        <w:t xml:space="preserve">ведомственное взаимодействие и обеспечение контроля в части осуществления государственных полномочий по предоставлению                                    жилых помещений детям-сиротам и лицам из их числа.</w:t>
      </w:r>
      <w:r>
        <w:rPr>
          <w:b w:val="0"/>
          <w:bCs w:val="0"/>
          <w:highlight w:val="none"/>
        </w:rPr>
      </w:r>
      <w:r/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  <w:lang w:bidi="ru-RU"/>
        </w:rPr>
        <w:t xml:space="preserve">Так, </w:t>
      </w:r>
      <w:r>
        <w:rPr>
          <w:b w:val="0"/>
          <w:bCs w:val="0"/>
          <w:sz w:val="28"/>
          <w:szCs w:val="28"/>
          <w:highlight w:val="none"/>
        </w:rPr>
        <w:t xml:space="preserve">законом области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от 29.04.2022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№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83-ОЗ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О дополнительной мере социальной поддержки лиц, которые относились к категории детей-сирот и детей, оставшихся без попечения родителей, лиц из числа детей-сирот и детей, оставшихся без попечения родителей, подлежащих обеспечению жилыми помещениями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в Еврейской автономной области» с 01 января                          2023 года установлено</w:t>
      </w:r>
      <w:r>
        <w:rPr>
          <w:rFonts w:eastAsia="Arial Unicode MS"/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предоставление указанным лицам, достигшим возраста 23 лет, социальной выплаты на приобретение жилого помещения на территории </w:t>
      </w:r>
      <w:r>
        <w:rPr>
          <w:b w:val="0"/>
          <w:bCs w:val="0"/>
          <w:sz w:val="28"/>
          <w:szCs w:val="28"/>
          <w:highlight w:val="none"/>
        </w:rPr>
        <w:t xml:space="preserve">области в собственность.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Систематически провод</w:t>
      </w:r>
      <w:r>
        <w:rPr>
          <w:b w:val="0"/>
          <w:bCs w:val="0"/>
          <w:color w:val="000000"/>
          <w:highlight w:val="none"/>
          <w:lang w:bidi="ru-RU"/>
        </w:rPr>
        <w:t xml:space="preserve">ится работа по инвентаризации списка                            детей-сирот лиц из их числа, </w:t>
      </w:r>
      <w:r>
        <w:rPr>
          <w:b w:val="0"/>
          <w:bCs w:val="0"/>
          <w:color w:val="000000"/>
          <w:highlight w:val="none"/>
          <w:lang w:bidi="ru-RU"/>
        </w:rPr>
        <w:t xml:space="preserve">которые подлежат обеспечению                                  жилыми помещениями.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Ежегодно между Министерством</w:t>
      </w:r>
      <w:r>
        <w:rPr>
          <w:rFonts w:eastAsia="Calibri"/>
          <w:b w:val="0"/>
          <w:bCs w:val="0"/>
          <w:highlight w:val="none"/>
        </w:rPr>
        <w:t xml:space="preserve"> строительства                                                          и жил</w:t>
      </w:r>
      <w:r>
        <w:rPr>
          <w:rFonts w:eastAsia="Calibri"/>
          <w:b w:val="0"/>
          <w:bCs w:val="0"/>
          <w:highlight w:val="none"/>
        </w:rPr>
        <w:t xml:space="preserve">ищно-коммунального хозяйства Российской Федерации                                              и департаментом строительства и жилищно-коммунального хозяйства правительства </w:t>
      </w:r>
      <w:r>
        <w:rPr>
          <w:rFonts w:eastAsia="Calibri"/>
          <w:b w:val="0"/>
          <w:bCs w:val="0"/>
          <w:highlight w:val="none"/>
        </w:rPr>
        <w:t xml:space="preserve">области </w:t>
      </w:r>
      <w:r>
        <w:rPr>
          <w:b w:val="0"/>
          <w:bCs w:val="0"/>
          <w:color w:val="000000"/>
          <w:highlight w:val="none"/>
          <w:lang w:bidi="ru-RU"/>
        </w:rPr>
        <w:t xml:space="preserve">заключаются Соглашения о предоставлении субсидии из федерального бюджета областному бюджету на обес</w:t>
      </w:r>
      <w:r>
        <w:rPr>
          <w:b w:val="0"/>
          <w:bCs w:val="0"/>
          <w:color w:val="000000"/>
          <w:highlight w:val="none"/>
          <w:lang w:bidi="ru-RU"/>
        </w:rPr>
        <w:t xml:space="preserve">печение детей-сирот       и лиц из их числа жилыми помещений специализированного жилищного фонда по договорам найма специализированных жилых помещений. Освоение средств федерального бюджета </w:t>
      </w:r>
      <w:r>
        <w:rPr>
          <w:b w:val="0"/>
          <w:bCs w:val="0"/>
          <w:color w:val="000000"/>
          <w:highlight w:val="none"/>
          <w:lang w:bidi="ru-RU"/>
        </w:rPr>
        <w:t xml:space="preserve">за последние годы составляет                        </w:t>
      </w:r>
      <w:r>
        <w:rPr>
          <w:rStyle w:val="1047"/>
          <w:b w:val="0"/>
          <w:bCs w:val="0"/>
          <w:sz w:val="28"/>
          <w:szCs w:val="28"/>
          <w:highlight w:val="none"/>
        </w:rPr>
        <w:t xml:space="preserve">100</w:t>
      </w:r>
      <w:r>
        <w:rPr>
          <w:b w:val="0"/>
          <w:bCs w:val="0"/>
          <w:highlight w:val="none"/>
        </w:rPr>
        <w:t xml:space="preserve"> процентов.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Основной проблемой при формирования специализированного жилищного фонда для детей-сирот и лиц из их числа является отсутствие достаточного количества </w:t>
      </w:r>
      <w:r>
        <w:rPr>
          <w:b w:val="0"/>
          <w:bCs w:val="0"/>
          <w:color w:val="0d0d0d"/>
          <w:highlight w:val="none"/>
        </w:rPr>
        <w:t xml:space="preserve">жилых помещений</w:t>
      </w:r>
      <w:r>
        <w:rPr>
          <w:b w:val="0"/>
          <w:bCs w:val="0"/>
          <w:color w:val="000000"/>
          <w:highlight w:val="none"/>
          <w:lang w:bidi="ru-RU"/>
        </w:rPr>
        <w:t xml:space="preserve"> указанного фонда, соответствующих </w:t>
      </w:r>
      <w:r>
        <w:rPr>
          <w:b w:val="0"/>
          <w:bCs w:val="0"/>
          <w:color w:val="000000"/>
          <w:highlight w:val="none"/>
          <w:lang w:bidi="ru-RU"/>
        </w:rPr>
        <w:t xml:space="preserve">требованиям законодательства Российской Федерации.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 </w:t>
      </w:r>
      <w:r>
        <w:rPr>
          <w:b w:val="0"/>
          <w:bCs w:val="0"/>
          <w:color w:val="000000"/>
          <w:highlight w:val="none"/>
          <w:lang w:bidi="ru-RU"/>
        </w:rPr>
        <w:t xml:space="preserve">Основными рисками при реализации региональной программы являются: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- невозможность установления фактического местонахождения                                        детей-сирот и лиц из их числа;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- отказ  д</w:t>
      </w:r>
      <w:r>
        <w:rPr>
          <w:b w:val="0"/>
          <w:bCs w:val="0"/>
          <w:color w:val="000000"/>
          <w:highlight w:val="none"/>
          <w:lang w:bidi="ru-RU"/>
        </w:rPr>
        <w:t xml:space="preserve">етей-сирот и лиц из их числа от предоставляемых                             жилых помещений;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- отсутствие на вторичном рынке недвижимости жилых помещений, соответствующих установленным требованиям.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К мерам регулирования и управления ри</w:t>
      </w:r>
      <w:r>
        <w:rPr>
          <w:b w:val="0"/>
          <w:bCs w:val="0"/>
          <w:color w:val="000000"/>
          <w:highlight w:val="none"/>
          <w:lang w:bidi="ru-RU"/>
        </w:rPr>
        <w:t xml:space="preserve">сками, способам минимизации последствий неблагоприятных явлений и процессов следует отнести: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- ежегодная реализация новой дополнительной меры                                     социальной поддержки, позволяющей обеспечить жилыми помещениями детей-сирот и </w:t>
      </w:r>
      <w:r>
        <w:rPr>
          <w:b w:val="0"/>
          <w:bCs w:val="0"/>
          <w:color w:val="000000"/>
          <w:highlight w:val="none"/>
          <w:lang w:bidi="ru-RU"/>
        </w:rPr>
        <w:t xml:space="preserve">лиц из их числа за счет средств </w:t>
      </w:r>
      <w:r>
        <w:rPr>
          <w:b w:val="0"/>
          <w:bCs w:val="0"/>
          <w:highlight w:val="none"/>
        </w:rPr>
        <w:t xml:space="preserve">социальной выплаты на приобретение жилого помещения на территории области в собственность;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- ежегодная инвентаризация списка детей-сирот и лиц из их числа</w:t>
      </w:r>
      <w:r>
        <w:rPr>
          <w:b w:val="0"/>
          <w:bCs w:val="0"/>
          <w:color w:val="000000"/>
          <w:highlight w:val="none"/>
          <w:lang w:bidi="ru-RU"/>
        </w:rPr>
        <w:t xml:space="preserve">                         в целях установления фактической нуждаемости в предоставлении                           жилых помещений</w:t>
      </w:r>
      <w:r>
        <w:rPr>
          <w:b w:val="0"/>
          <w:bCs w:val="0"/>
          <w:color w:val="000000"/>
          <w:highlight w:val="none"/>
          <w:lang w:bidi="ru-RU"/>
        </w:rPr>
        <w:t xml:space="preserve"> специализированного жилищного фонда по договорам найма специализированных жилых помещений на территории области.</w:t>
      </w:r>
      <w:bookmarkStart w:id="0" w:name="bookmark1"/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3. </w:t>
      </w:r>
      <w:r>
        <w:rPr>
          <w:b w:val="0"/>
          <w:bCs w:val="0"/>
          <w:color w:val="000000"/>
          <w:highlight w:val="none"/>
          <w:lang w:bidi="ru-RU"/>
        </w:rPr>
        <w:t xml:space="preserve">Цель и задачи региональной программы</w:t>
      </w:r>
      <w:bookmarkEnd w:id="0"/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Цель региональной программы – выработка эффективных мер, направленных 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поэтапную до 2030 года ликвидацию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образовавшейся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задолженности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обеспечению жилыми помещениями детей-сирот                                       и лиц из их числ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а также определение целевых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показателей                                       данной деятельности в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Задачи региональной программы: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numPr>
          <w:ilvl w:val="0"/>
          <w:numId w:val="37"/>
        </w:num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создание в области условий для поэтапного сокращения численности 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етей-сирот и лиц из их числа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нуждающихся в предоставлении                                   жилых помещений;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1"/>
        <w:numPr>
          <w:ilvl w:val="0"/>
          <w:numId w:val="37"/>
        </w:num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координация деятельности органов исполни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тельной власти области, формируемых правительством, в части достижения показателей                                        по поэтапной ликвидации до 2030 года образовавшейся задолженности                            по обеспечению жилыми помещениями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детей-сирот и лиц из их числа.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В рамках решения указанных задач запланирована дальнейшая работа                    по формированию оперативного решения вопросов по реализации                                права детей-сирот и </w:t>
      </w:r>
      <w:r>
        <w:rPr>
          <w:b w:val="0"/>
          <w:bCs w:val="0"/>
          <w:color w:val="000000"/>
          <w:highlight w:val="none"/>
          <w:lang w:bidi="ru-RU"/>
        </w:rPr>
        <w:t xml:space="preserve">лиц из их числа на жилое помещение, а также наиболее </w:t>
      </w:r>
      <w:r>
        <w:rPr>
          <w:b w:val="0"/>
          <w:bCs w:val="0"/>
          <w:color w:val="000000"/>
          <w:highlight w:val="none"/>
          <w:lang w:bidi="ru-RU"/>
        </w:rPr>
        <w:t xml:space="preserve">эффективного расходования средств федерального и областного бюджетов.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Целевые показатели региональной программы отражают                           результаты деятельности:</w:t>
      </w:r>
      <w:r>
        <w:rPr>
          <w:b w:val="0"/>
          <w:bCs w:val="0"/>
          <w:highlight w:val="none"/>
        </w:rPr>
      </w:r>
      <w:r/>
    </w:p>
    <w:p>
      <w:pPr>
        <w:ind w:right="-1" w:firstLine="709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1) доля нуждавши</w:t>
      </w:r>
      <w:r>
        <w:rPr>
          <w:b w:val="0"/>
          <w:bCs w:val="0"/>
          <w:sz w:val="28"/>
          <w:szCs w:val="28"/>
          <w:highlight w:val="none"/>
        </w:rPr>
        <w:t xml:space="preserve">хся в обеспечении жилыми помещениями                                                 детей-сирот и лиц из их числа, которым предоставлены жилые помещения                        за отчетный год, в общей численности детей-сирот и лиц из их числа, подлежащих </w:t>
      </w:r>
      <w:r>
        <w:rPr>
          <w:b w:val="0"/>
          <w:bCs w:val="0"/>
          <w:sz w:val="28"/>
          <w:szCs w:val="28"/>
          <w:highlight w:val="none"/>
        </w:rPr>
        <w:t xml:space="preserve">обеспечению жилыми помещениями (процент);</w:t>
      </w:r>
      <w:r>
        <w:rPr>
          <w:b w:val="0"/>
          <w:bCs w:val="0"/>
          <w:highlight w:val="none"/>
        </w:rPr>
      </w:r>
      <w:r/>
    </w:p>
    <w:p>
      <w:pPr>
        <w:ind w:right="-1" w:firstLine="709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2) количество жилых помещений в многоквартирных домах, построенных в целях включения данных помещений в специализированный жилищный фонд, для предоставления их по договорам найма специализированных жилых помещений де</w:t>
      </w:r>
      <w:r>
        <w:rPr>
          <w:b w:val="0"/>
          <w:bCs w:val="0"/>
          <w:sz w:val="28"/>
          <w:szCs w:val="28"/>
          <w:highlight w:val="none"/>
        </w:rPr>
        <w:t xml:space="preserve">тям-сиротам и лицам из их числа;</w:t>
      </w:r>
      <w:r>
        <w:rPr>
          <w:b w:val="0"/>
          <w:bCs w:val="0"/>
          <w:highlight w:val="none"/>
        </w:rPr>
      </w:r>
      <w:r/>
    </w:p>
    <w:p>
      <w:pPr>
        <w:ind w:right="-1" w:firstLine="709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3) количество предоставленных детям-сиротам и лицам из их числа жилых помещений специализированного жилищного фонда по договорам найма специализированных жилых помещений, которые приобретены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    за счет средств федерального и областного бюджетов;</w:t>
      </w:r>
      <w:r>
        <w:rPr>
          <w:b w:val="0"/>
          <w:bCs w:val="0"/>
          <w:highlight w:val="none"/>
        </w:rPr>
      </w:r>
      <w:r/>
    </w:p>
    <w:p>
      <w:pPr>
        <w:ind w:right="-1" w:firstLine="709"/>
        <w:jc w:val="both"/>
        <w:widowControl w:val="off"/>
        <w:rPr>
          <w:b w:val="0"/>
          <w:bCs w:val="0"/>
          <w:sz w:val="28"/>
          <w:szCs w:val="28"/>
          <w:highlight w:val="none"/>
          <w:vertAlign w:val="superscript"/>
        </w:rPr>
      </w:pPr>
      <w:r>
        <w:rPr>
          <w:b w:val="0"/>
          <w:bCs w:val="0"/>
          <w:sz w:val="28"/>
          <w:szCs w:val="28"/>
          <w:highlight w:val="none"/>
        </w:rPr>
        <w:t xml:space="preserve">4) численность лиц, которые относились к категории детей-сирот                           и детей, оставшихся без попечения родителей, лиц из числа детей-сирот                                  и детей,</w:t>
      </w:r>
      <w:r>
        <w:rPr>
          <w:b w:val="0"/>
          <w:bCs w:val="0"/>
          <w:sz w:val="28"/>
          <w:szCs w:val="28"/>
          <w:highlight w:val="none"/>
        </w:rPr>
        <w:t xml:space="preserve"> оставшихся без попечения родителей, и достигли возраста 23 лет, которым предоставлена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социальная выплата на приобретение                                        жилого помещения на территории области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в собственность в соответствии                              с законом области от 29.04.2022 № 83-ОЗ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«О дополнительной мере социальной поддержки лиц, которые относились к категории детей-сирот                             и дет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ей, оставшихся без попечения родителей, лиц из числа детей-сирот                                и детей, оставшихся без попечения родителей, подлежащих обеспечению жилыми помещениями в Еврейской автономной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области».  </w:t>
      </w:r>
      <w:r>
        <w:rPr>
          <w:rFonts w:eastAsia="Calibri"/>
          <w:b w:val="0"/>
          <w:bCs w:val="0"/>
          <w:highlight w:val="none"/>
        </w:rPr>
        <w:t xml:space="preserve">    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1418" w:leader="none"/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60"/>
        <w:ind w:left="709" w:right="-1" w:firstLine="0"/>
        <w:jc w:val="center"/>
        <w:keepLines/>
        <w:keepNext/>
        <w:spacing w:before="0" w:line="240" w:lineRule="auto"/>
        <w:shd w:val="clear" w:color="auto" w:fill="auto"/>
        <w:tabs>
          <w:tab w:val="left" w:pos="1418" w:leader="none"/>
          <w:tab w:val="left" w:pos="4336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highlight w:val="none"/>
        </w:rPr>
      </w:r>
      <w:bookmarkStart w:id="2" w:name="bookmark3"/>
      <w:r>
        <w:rPr>
          <w:b w:val="0"/>
          <w:bCs w:val="0"/>
          <w:color w:val="000000"/>
          <w:highlight w:val="none"/>
          <w:lang w:bidi="ru-RU"/>
        </w:rPr>
        <w:t xml:space="preserve">4.</w:t>
      </w:r>
      <w:r>
        <w:rPr>
          <w:b w:val="0"/>
          <w:bCs w:val="0"/>
          <w:color w:val="000000"/>
          <w:highlight w:val="none"/>
          <w:lang w:bidi="ru-RU"/>
        </w:rPr>
        <w:t xml:space="preserve"> Перечень программных мероприятий</w:t>
      </w:r>
      <w:bookmarkEnd w:id="2"/>
      <w:r>
        <w:rPr>
          <w:b w:val="0"/>
          <w:bCs w:val="0"/>
          <w:highlight w:val="none"/>
        </w:rPr>
      </w:r>
      <w:r/>
    </w:p>
    <w:p>
      <w:pPr>
        <w:pStyle w:val="1060"/>
        <w:ind w:left="709" w:right="-1" w:firstLine="0"/>
        <w:jc w:val="center"/>
        <w:keepLines/>
        <w:keepNext/>
        <w:spacing w:before="0" w:line="240" w:lineRule="auto"/>
        <w:shd w:val="clear" w:color="auto" w:fill="auto"/>
        <w:tabs>
          <w:tab w:val="left" w:pos="1418" w:leader="none"/>
          <w:tab w:val="left" w:pos="4336" w:leader="none"/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1418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Для достижения поставленной основной цели региональной программы необходимо реализовать перечень мероприятий согласно приложению                                к  региональной программе.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1418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Региональная программа предусматривает реализацию комплекса взаимосвя</w:t>
      </w:r>
      <w:r>
        <w:rPr>
          <w:b w:val="0"/>
          <w:bCs w:val="0"/>
          <w:color w:val="000000"/>
          <w:highlight w:val="none"/>
          <w:lang w:bidi="ru-RU"/>
        </w:rPr>
        <w:t xml:space="preserve">занных и скоординированных мероприятий, позволяющего формировать оперативное решение вопросов по реализации права                              детей-сирот и лиц из их числа на жилое помещение, а также наиболее эффективное расходование средств федерального </w:t>
      </w:r>
      <w:r>
        <w:rPr>
          <w:b w:val="0"/>
          <w:bCs w:val="0"/>
          <w:color w:val="000000"/>
          <w:highlight w:val="none"/>
          <w:lang w:bidi="ru-RU"/>
        </w:rPr>
        <w:t xml:space="preserve">и областного бюджетов.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1418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Региональная программа предусматривает ежегодное осуществление комплекса мероприятий, направленного на поэтапную ликвидацию                                           </w:t>
      </w:r>
      <w:r>
        <w:rPr>
          <w:b w:val="0"/>
          <w:bCs w:val="0"/>
          <w:color w:val="000000"/>
          <w:highlight w:val="none"/>
          <w:lang w:bidi="ru-RU"/>
        </w:rPr>
        <w:t xml:space="preserve">до 2030 года образовавшейся задолженности по предоставлению                              жилых п</w:t>
      </w:r>
      <w:r>
        <w:rPr>
          <w:b w:val="0"/>
          <w:bCs w:val="0"/>
          <w:color w:val="000000"/>
          <w:highlight w:val="none"/>
          <w:lang w:bidi="ru-RU"/>
        </w:rPr>
        <w:t xml:space="preserve">омещений детям-сиротам и лицам из их числа.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1418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Указанный комплекс также содержит мероприятия, направленные                            на создание на территории области условий для поэтапного сокращения чи</w:t>
      </w:r>
      <w:r>
        <w:rPr>
          <w:b w:val="0"/>
          <w:bCs w:val="0"/>
          <w:color w:val="000000"/>
          <w:highlight w:val="none"/>
          <w:lang w:bidi="ru-RU"/>
        </w:rPr>
        <w:t xml:space="preserve">сленности детей-сирот и лиц из их числа, нуждающихся в обеспечении жилыми помещениями, а также на координацию деятельности                                      органов исполнительной власти </w:t>
      </w:r>
      <w:r>
        <w:rPr>
          <w:b w:val="0"/>
          <w:bCs w:val="0"/>
          <w:color w:val="000000"/>
          <w:highlight w:val="none"/>
          <w:lang w:bidi="ru-RU"/>
        </w:rPr>
        <w:t xml:space="preserve">области, формиру</w:t>
      </w:r>
      <w:r>
        <w:rPr>
          <w:b w:val="0"/>
          <w:bCs w:val="0"/>
          <w:color w:val="000000"/>
          <w:highlight w:val="none"/>
          <w:lang w:bidi="ru-RU"/>
        </w:rPr>
        <w:t xml:space="preserve">емых правительством области, в части достижения показателей по поэтапной ликвидации                                до 2030 года образовавшейся задолженности по предоставлению                              детям-сиротам и лицам из их числа жилых помещений в </w:t>
      </w:r>
      <w:r>
        <w:rPr>
          <w:b w:val="0"/>
          <w:bCs w:val="0"/>
          <w:color w:val="000000"/>
          <w:highlight w:val="none"/>
          <w:lang w:bidi="ru-RU"/>
        </w:rPr>
        <w:t xml:space="preserve">области.</w:t>
      </w:r>
      <w:r>
        <w:rPr>
          <w:b w:val="0"/>
          <w:bCs w:val="0"/>
          <w:highlight w:val="none"/>
        </w:rPr>
        <w:t xml:space="preserve">                  </w:t>
      </w:r>
      <w:r>
        <w:rPr>
          <w:b w:val="0"/>
          <w:bCs w:val="0"/>
          <w:highlight w:val="none"/>
        </w:rPr>
      </w:r>
      <w:r/>
    </w:p>
    <w:p>
      <w:pPr>
        <w:pStyle w:val="1033"/>
        <w:ind w:left="1500" w:right="-1" w:firstLine="709"/>
        <w:spacing w:line="240" w:lineRule="auto"/>
        <w:shd w:val="clear" w:color="auto" w:fill="auto"/>
        <w:tabs>
          <w:tab w:val="left" w:pos="1418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60"/>
        <w:ind w:right="-1" w:firstLine="0"/>
        <w:jc w:val="center"/>
        <w:keepLines/>
        <w:keepNext/>
        <w:spacing w:before="0" w:line="240" w:lineRule="auto"/>
        <w:shd w:val="clear" w:color="auto" w:fill="auto"/>
        <w:tabs>
          <w:tab w:val="left" w:pos="4500" w:leader="none"/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bookmarkStart w:id="3" w:name="bookmark4"/>
      <w:r>
        <w:rPr>
          <w:b w:val="0"/>
          <w:bCs w:val="0"/>
          <w:color w:val="000000"/>
          <w:highlight w:val="none"/>
          <w:lang w:bidi="ru-RU"/>
        </w:rPr>
        <w:t xml:space="preserve">5.</w:t>
      </w:r>
      <w:r>
        <w:rPr>
          <w:b w:val="0"/>
          <w:bCs w:val="0"/>
          <w:color w:val="000000"/>
          <w:highlight w:val="none"/>
          <w:lang w:bidi="ru-RU"/>
        </w:rPr>
        <w:t xml:space="preserve"> Ресурсное обеспечение региональной программы</w:t>
      </w:r>
      <w:bookmarkEnd w:id="3"/>
      <w:r>
        <w:rPr>
          <w:b w:val="0"/>
          <w:bCs w:val="0"/>
          <w:highlight w:val="none"/>
        </w:rPr>
      </w:r>
      <w:r/>
    </w:p>
    <w:p>
      <w:pPr>
        <w:pStyle w:val="1060"/>
        <w:ind w:right="-1" w:firstLine="0"/>
        <w:keepLines/>
        <w:keepNext/>
        <w:spacing w:before="0" w:line="240" w:lineRule="auto"/>
        <w:shd w:val="clear" w:color="auto" w:fill="auto"/>
        <w:tabs>
          <w:tab w:val="left" w:pos="4500" w:leader="none"/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Расчет потребности в средствах федерального и областного бюджетов       с учетом необходимости поэтапной ликвидации до 2030 года образовавшейся задолженности по обеспечению жилыми помещениями детей-сирот                                           и лиц из и</w:t>
      </w:r>
      <w:r>
        <w:rPr>
          <w:b w:val="0"/>
          <w:bCs w:val="0"/>
          <w:color w:val="000000"/>
          <w:highlight w:val="none"/>
          <w:lang w:bidi="ru-RU"/>
        </w:rPr>
        <w:t xml:space="preserve">х числа представлен в таблице.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jc w:val="righ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Таблица</w:t>
      </w:r>
      <w:r>
        <w:rPr>
          <w:b w:val="0"/>
          <w:bCs w:val="0"/>
          <w:highlight w:val="none"/>
        </w:rPr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91"/>
        <w:gridCol w:w="1134"/>
        <w:gridCol w:w="850"/>
        <w:gridCol w:w="850"/>
        <w:gridCol w:w="850"/>
        <w:gridCol w:w="850"/>
        <w:gridCol w:w="852"/>
        <w:gridCol w:w="852"/>
        <w:gridCol w:w="851"/>
      </w:tblGrid>
      <w:tr>
        <w:trPr>
          <w:cantSplit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№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п.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Наименование показателя, значение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Факти-ческое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значение    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(по состо-янию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на конец года)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gridSpan w:val="7"/>
            <w:tcW w:w="5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План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485" w:type="dxa"/>
            <w:vMerge w:val="continue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1891" w:type="dxa"/>
            <w:vMerge w:val="continue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2026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2027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2028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2029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2030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Численность детей-сирот, состоящих                                 в списке (человек)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1 163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1 123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1 084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1 008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932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856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780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704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Численность детей-сирот, состоящих                            в списке,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у которых наступило право                                на предоставление жилья  (человек)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970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930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891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815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739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663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587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511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Число детей-сирот, обеспеченных жилыми помещениями                                  и исключенных                             из списка (человек)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50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29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28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65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>
          <w:trHeight w:val="230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Число детей-сирот, исключенных                             из списка по иным основаниям (человек)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Потребность                                   в средствах федерального                                   и областного бюджетов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d0d0d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0d0d0d"/>
                <w:sz w:val="16"/>
                <w:szCs w:val="16"/>
                <w:highlight w:val="none"/>
              </w:rPr>
              <w:t xml:space="preserve">99 250,8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119339,1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  <w:t xml:space="preserve">123136,2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в том числе: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федеральный бюджет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(тыс. рублей)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d0d0d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0d0d0d"/>
                <w:sz w:val="18"/>
                <w:szCs w:val="18"/>
                <w:highlight w:val="none"/>
              </w:rPr>
              <w:t xml:space="preserve">89 325,7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72 701,9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76 119,3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W w:w="48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5.2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1033"/>
              <w:ind w:right="-1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highlight w:val="none"/>
              </w:rPr>
              <w:t xml:space="preserve">областной бюджет (тыс. рублей)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d0d0d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0d0d0d"/>
                <w:sz w:val="18"/>
                <w:szCs w:val="18"/>
                <w:highlight w:val="none"/>
              </w:rPr>
              <w:t xml:space="preserve">9 925,1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eastAsia="Calibri"/>
                <w:b w:val="0"/>
                <w:bCs w:val="0"/>
                <w:sz w:val="18"/>
                <w:szCs w:val="18"/>
                <w:highlight w:val="none"/>
              </w:rPr>
              <w:t xml:space="preserve">46 637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,2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rFonts w:eastAsia="Calibri"/>
                <w:b w:val="0"/>
                <w:bCs w:val="0"/>
                <w:sz w:val="18"/>
                <w:szCs w:val="18"/>
                <w:highlight w:val="none"/>
              </w:rPr>
              <w:t xml:space="preserve">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47 016,9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</w:tbl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rFonts w:eastAsia="Calibri"/>
          <w:b w:val="0"/>
          <w:bCs w:val="0"/>
          <w:sz w:val="20"/>
          <w:szCs w:val="20"/>
          <w:highlight w:val="none"/>
        </w:rPr>
      </w:pPr>
      <w:r>
        <w:rPr>
          <w:rFonts w:eastAsia="Calibri"/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jc w:val="center"/>
        <w:spacing w:line="240" w:lineRule="auto"/>
        <w:shd w:val="clear" w:color="auto" w:fill="auto"/>
        <w:tabs>
          <w:tab w:val="left" w:pos="9356" w:leader="none"/>
        </w:tabs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</w:rPr>
        <w:t xml:space="preserve">6.</w:t>
      </w:r>
      <w:r>
        <w:rPr>
          <w:rFonts w:eastAsia="Calibri"/>
          <w:b w:val="0"/>
          <w:bCs w:val="0"/>
          <w:highlight w:val="none"/>
        </w:rPr>
        <w:t xml:space="preserve"> Управление реализацией и контроль за ходом реализации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jc w:val="center"/>
        <w:spacing w:line="240" w:lineRule="auto"/>
        <w:shd w:val="clear" w:color="auto" w:fill="auto"/>
        <w:tabs>
          <w:tab w:val="left" w:pos="9356" w:leader="none"/>
        </w:tabs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</w:rPr>
        <w:t xml:space="preserve">региональной Программы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jc w:val="center"/>
        <w:spacing w:line="240" w:lineRule="auto"/>
        <w:shd w:val="clear" w:color="auto" w:fill="auto"/>
        <w:tabs>
          <w:tab w:val="left" w:pos="9356" w:leader="none"/>
        </w:tabs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</w:rPr>
        <w:t xml:space="preserve">Организацию исполнения мероприятий, текущее управление, координацию работы соисполнителей региональной программы и контроль      за ходом реализации региональной программы (в том числе оценку достижения целевых показателей региональной програ</w:t>
      </w:r>
      <w:r>
        <w:rPr>
          <w:rFonts w:eastAsia="Calibri"/>
          <w:b w:val="0"/>
          <w:bCs w:val="0"/>
          <w:highlight w:val="none"/>
        </w:rPr>
        <w:t xml:space="preserve">ммы на основании информации, представленной соисполнителями региональной программы) осуществляет ответственный исполнитель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rFonts w:eastAsia="Calibri"/>
          <w:b w:val="0"/>
          <w:bCs w:val="0"/>
          <w:highlight w:val="none"/>
        </w:rPr>
        <w:t xml:space="preserve">Ответственный исполнитель региональной программы </w:t>
      </w:r>
      <w:r>
        <w:rPr>
          <w:b w:val="0"/>
          <w:bCs w:val="0"/>
          <w:color w:val="000000"/>
          <w:highlight w:val="none"/>
          <w:lang w:bidi="ru-RU"/>
        </w:rPr>
        <w:t xml:space="preserve">разрабатывает                    в пределах </w:t>
      </w:r>
      <w:r>
        <w:rPr>
          <w:b w:val="0"/>
          <w:bCs w:val="0"/>
          <w:color w:val="000000"/>
          <w:highlight w:val="none"/>
          <w:lang w:bidi="ru-RU"/>
        </w:rPr>
        <w:t xml:space="preserve">своей компетенции нормативные правовые акты области, необходимые для реализации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highlight w:val="none"/>
        </w:rPr>
        <w:t xml:space="preserve">Контроль </w:t>
      </w:r>
      <w:r>
        <w:rPr>
          <w:b w:val="0"/>
          <w:bCs w:val="0"/>
          <w:color w:val="000000"/>
          <w:highlight w:val="none"/>
          <w:lang w:bidi="ru-RU"/>
        </w:rPr>
        <w:t xml:space="preserve">за реализацией региональной программы осуще</w:t>
      </w:r>
      <w:r>
        <w:rPr>
          <w:b w:val="0"/>
          <w:bCs w:val="0"/>
          <w:color w:val="000000"/>
          <w:highlight w:val="none"/>
          <w:lang w:bidi="ru-RU"/>
        </w:rPr>
        <w:t xml:space="preserve">ствляется заместителем председателя правительства области, курирующим         социальную сферу.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Оценка результатов исполнения региональной программы                                 по истечении каждого года ее реализации проводится на рабочих </w:t>
      </w:r>
      <w:r>
        <w:rPr>
          <w:b w:val="0"/>
          <w:bCs w:val="0"/>
          <w:color w:val="000000"/>
          <w:highlight w:val="none"/>
          <w:lang w:bidi="ru-RU"/>
        </w:rPr>
        <w:t xml:space="preserve">совещаниях исполнителей региональной программы, а также на уровне заместителя председателя правительства области, курирующего социальную сферу.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Ответственным исполнителем региональной программы является департамент социальной защиты на</w:t>
      </w:r>
      <w:r>
        <w:rPr>
          <w:b w:val="0"/>
          <w:bCs w:val="0"/>
          <w:color w:val="000000"/>
          <w:highlight w:val="none"/>
          <w:lang w:bidi="ru-RU"/>
        </w:rPr>
        <w:t xml:space="preserve">селения правительства области, ответственный за достижение цели, указанной в разделе 1                              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Ответственный исполнитель региональной программы: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 осуществляет координацию работы по реализ</w:t>
      </w:r>
      <w:r>
        <w:rPr>
          <w:b w:val="0"/>
          <w:bCs w:val="0"/>
          <w:color w:val="000000"/>
          <w:highlight w:val="none"/>
          <w:lang w:bidi="ru-RU"/>
        </w:rPr>
        <w:t xml:space="preserve">ации региональной программы;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на основе представленных соисполнителями региональной программы отчетов о ходе реализации региональной программы осуществляет мониторинг хода реализации региональной программы                             в целом и формирует </w:t>
      </w:r>
      <w:r>
        <w:rPr>
          <w:b w:val="0"/>
          <w:bCs w:val="0"/>
          <w:color w:val="000000"/>
          <w:highlight w:val="none"/>
          <w:lang w:bidi="ru-RU"/>
        </w:rPr>
        <w:t xml:space="preserve">сводный отчет об исполнении региональной программы;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осуществляет контроль за ходом реализации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Соисполнителями региональной программы являются: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Cs w:val="2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д</w:t>
      </w:r>
      <w:r>
        <w:rPr>
          <w:b w:val="0"/>
          <w:bCs w:val="0"/>
          <w:szCs w:val="20"/>
          <w:highlight w:val="none"/>
        </w:rPr>
        <w:t xml:space="preserve">епартамент по управлению государственным имуществом области;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Cs w:val="2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д</w:t>
      </w:r>
      <w:r>
        <w:rPr>
          <w:b w:val="0"/>
          <w:bCs w:val="0"/>
          <w:szCs w:val="20"/>
          <w:highlight w:val="none"/>
        </w:rPr>
        <w:t xml:space="preserve">епартамент строительства и жилищно-коммунального хозяйства </w:t>
      </w:r>
      <w:r>
        <w:rPr>
          <w:b w:val="0"/>
          <w:bCs w:val="0"/>
          <w:szCs w:val="20"/>
          <w:highlight w:val="none"/>
        </w:rPr>
        <w:t xml:space="preserve">правительства области.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Cs w:val="20"/>
          <w:highlight w:val="none"/>
        </w:rPr>
      </w:pPr>
      <w:r>
        <w:rPr>
          <w:b w:val="0"/>
          <w:bCs w:val="0"/>
          <w:szCs w:val="20"/>
          <w:highlight w:val="none"/>
        </w:rPr>
        <w:t xml:space="preserve">Соисполнители региональной программы: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организуют исполнение мероприятий региональной программы;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обеспечивают эффективное использование средств</w:t>
      </w:r>
      <w:r>
        <w:rPr>
          <w:b w:val="0"/>
          <w:bCs w:val="0"/>
          <w:color w:val="000000"/>
          <w:highlight w:val="none"/>
          <w:lang w:bidi="ru-RU"/>
        </w:rPr>
        <w:t xml:space="preserve"> федерального                           и областного бюджетов, выделяемых на реализацию программных мероприятий, а также осуществляют контроль за целевым использованием имущества, приобретенного (адаптированного)  в рамках региональной программы;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осущес</w:t>
      </w:r>
      <w:r>
        <w:rPr>
          <w:b w:val="0"/>
          <w:bCs w:val="0"/>
          <w:color w:val="000000"/>
          <w:highlight w:val="none"/>
          <w:lang w:bidi="ru-RU"/>
        </w:rPr>
        <w:t xml:space="preserve">твляют ведение мониторинга хода реализации мероприятий региональной программы;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4) при необходимости выступают инициаторами корректировки программных мероприятий, источников и объемов их финансирования                          (с учетом результатов оценки э</w:t>
      </w:r>
      <w:r>
        <w:rPr>
          <w:b w:val="0"/>
          <w:bCs w:val="0"/>
          <w:color w:val="000000"/>
          <w:highlight w:val="none"/>
          <w:lang w:bidi="ru-RU"/>
        </w:rPr>
        <w:t xml:space="preserve">ффективности региональной программы).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Ответственный исполнитель и соисполнители региональной программы несут ответственность за реализацию курируемых мероприятий региональной программы и ежегодно уточняют целевые показатели региональной программы</w:t>
      </w:r>
      <w:r>
        <w:rPr>
          <w:b w:val="0"/>
          <w:bCs w:val="0"/>
          <w:color w:val="000000"/>
          <w:highlight w:val="none"/>
          <w:lang w:bidi="ru-RU"/>
        </w:rPr>
        <w:t xml:space="preserve">, мероприятия региональной программы и объемы их финансирования.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Соисполнители региональной программы представляют                                        в департамент социальной защиты населения правительства области информацию о дост</w:t>
      </w:r>
      <w:r>
        <w:rPr>
          <w:b w:val="0"/>
          <w:bCs w:val="0"/>
          <w:color w:val="000000"/>
          <w:highlight w:val="none"/>
          <w:lang w:bidi="ru-RU"/>
        </w:rPr>
        <w:t xml:space="preserve">ижении плановых показателей региональной программы, плановых мероприятий, предусмотренных региональной программой, ежеквартально – до 15-го числа месяца, следующего за отчетным кварталом.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0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Департамент социальной защиты населения правительства </w:t>
      </w:r>
      <w:r>
        <w:rPr>
          <w:b w:val="0"/>
          <w:bCs w:val="0"/>
          <w:color w:val="000000"/>
          <w:highlight w:val="none"/>
          <w:lang w:bidi="ru-RU"/>
        </w:rPr>
        <w:t xml:space="preserve">области формирует обобщенную информацию о ходе реализации региональной программы ежеквартально – до 25-го числа месяца, следующего за отчетным кварталом, и представляет ее на рассмотрение заместит</w:t>
      </w:r>
      <w:r>
        <w:rPr>
          <w:b w:val="0"/>
          <w:bCs w:val="0"/>
          <w:color w:val="000000"/>
          <w:highlight w:val="none"/>
          <w:lang w:bidi="ru-RU"/>
        </w:rPr>
        <w:t xml:space="preserve">еля председателя правительства области, курирующего социальную сферу.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7.</w:t>
      </w:r>
      <w:r>
        <w:rPr>
          <w:b w:val="0"/>
          <w:bCs w:val="0"/>
          <w:color w:val="000000"/>
          <w:highlight w:val="none"/>
          <w:lang w:bidi="ru-RU"/>
        </w:rPr>
        <w:t xml:space="preserve"> Оценка эффективности реализации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региональной программы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Предоставление жилых помещений детям-сиротам и лицам из их числа входит в число приоритетных задач. В результате реализации региональной программы ожидаются позитивные изменения значений показателей обеспечения жилыми помещениями детей-сирот и лиц из их чи</w:t>
      </w:r>
      <w:r>
        <w:rPr>
          <w:b w:val="0"/>
          <w:bCs w:val="0"/>
          <w:color w:val="000000"/>
          <w:highlight w:val="none"/>
          <w:lang w:bidi="ru-RU"/>
        </w:rPr>
        <w:t xml:space="preserve">сла,                                   а также соблюдение жилищных прав детей-сирот и лиц из их числа.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С учетом текущего состояния включения детей-сирот                                           и лиц из их числа в список граждан, нуждающихся в предоста</w:t>
      </w:r>
      <w:r>
        <w:rPr>
          <w:b w:val="0"/>
          <w:bCs w:val="0"/>
          <w:color w:val="000000"/>
          <w:highlight w:val="none"/>
          <w:lang w:bidi="ru-RU"/>
        </w:rPr>
        <w:t xml:space="preserve">влении                                    жилых помещений, предполагается к 2030 году: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</w:t>
      </w:r>
      <w:r>
        <w:rPr>
          <w:b w:val="0"/>
          <w:bCs w:val="0"/>
          <w:color w:val="000000"/>
          <w:highlight w:val="none"/>
          <w:lang w:bidi="ru-RU"/>
        </w:rPr>
        <w:t xml:space="preserve">поэтапно </w:t>
      </w:r>
      <w:r>
        <w:rPr>
          <w:b w:val="0"/>
          <w:bCs w:val="0"/>
          <w:color w:val="000000"/>
          <w:highlight w:val="none"/>
          <w:lang w:bidi="ru-RU"/>
        </w:rPr>
        <w:t xml:space="preserve">ликвидировать образовавшуюся задолженность                                      по обеспечению жилыми помещениями детей-сирот и лиц из их числа;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предоставить жилые помещения детям-сиротам и лицам из и</w:t>
      </w:r>
      <w:r>
        <w:rPr>
          <w:b w:val="0"/>
          <w:bCs w:val="0"/>
          <w:color w:val="000000"/>
          <w:highlight w:val="none"/>
          <w:lang w:bidi="ru-RU"/>
        </w:rPr>
        <w:t xml:space="preserve">х числа                     в соответствии с Федеральным законом № 159-ФЗ и в порядке, установленном </w:t>
      </w:r>
      <w:r>
        <w:rPr>
          <w:b w:val="0"/>
          <w:bCs w:val="0"/>
          <w:color w:val="0d0d0d"/>
          <w:highlight w:val="none"/>
        </w:rPr>
        <w:t xml:space="preserve">законом области </w:t>
      </w:r>
      <w:r>
        <w:rPr>
          <w:rFonts w:eastAsia="Calibri"/>
          <w:b w:val="0"/>
          <w:bCs w:val="0"/>
          <w:highlight w:val="none"/>
        </w:rPr>
        <w:t xml:space="preserve">от 28.03.2014 № 488-ОЗ</w:t>
      </w:r>
      <w:r>
        <w:rPr>
          <w:b w:val="0"/>
          <w:bCs w:val="0"/>
          <w:color w:val="000000"/>
          <w:highlight w:val="none"/>
          <w:lang w:bidi="ru-RU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Реализация региональной программы при достижении прогнозируемых результа</w:t>
      </w:r>
      <w:r>
        <w:rPr>
          <w:b w:val="0"/>
          <w:bCs w:val="0"/>
          <w:color w:val="000000"/>
          <w:highlight w:val="none"/>
          <w:lang w:bidi="ru-RU"/>
        </w:rPr>
        <w:t xml:space="preserve">тов позволит: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обеспечить ликвидацию задолженности по обеспечению                                  детей-сирот и лиц из их числа жилыми помещениями;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предоставить жилые помещения детям-сиротам и лицам из их числа                      в соответствии с </w:t>
      </w:r>
      <w:r>
        <w:rPr>
          <w:b w:val="0"/>
          <w:bCs w:val="0"/>
          <w:color w:val="000000"/>
          <w:highlight w:val="none"/>
          <w:lang w:bidi="ru-RU"/>
        </w:rPr>
        <w:t xml:space="preserve">законодательством Российской Федерации                                                  и законодательством области;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осуществить жилищные права детей-сирот и лиц из их числа, гарантированные законом.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Таким образом, ожидаемый эффект </w:t>
      </w:r>
      <w:r>
        <w:rPr>
          <w:b w:val="0"/>
          <w:bCs w:val="0"/>
          <w:color w:val="000000"/>
          <w:highlight w:val="none"/>
          <w:lang w:bidi="ru-RU"/>
        </w:rPr>
        <w:t xml:space="preserve">от реализации региональной программы носит социальный характер.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Применение программно-целевого метода позволит на долгосрочный период сконцентрировать организационные и финансовые ресурсы, обеспечить комплексный подход к решению проблем предоставления     </w:t>
      </w:r>
      <w:r>
        <w:rPr>
          <w:b w:val="0"/>
          <w:bCs w:val="0"/>
          <w:color w:val="000000"/>
          <w:highlight w:val="none"/>
          <w:lang w:bidi="ru-RU"/>
        </w:rPr>
        <w:t xml:space="preserve">                       жилых помещений детям-сиротам и лицам из их числа.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Оценка эффективности реализации региональной программы производится по завершении ее срока за период с 2024 года                                по 2030 год включительно. Промежуточны</w:t>
      </w:r>
      <w:r>
        <w:rPr>
          <w:b w:val="0"/>
          <w:bCs w:val="0"/>
          <w:color w:val="000000"/>
          <w:highlight w:val="none"/>
          <w:lang w:bidi="ru-RU"/>
        </w:rPr>
        <w:t xml:space="preserve">й анализ </w:t>
      </w:r>
      <w:r>
        <w:rPr>
          <w:b w:val="0"/>
          <w:bCs w:val="0"/>
          <w:color w:val="000000"/>
          <w:highlight w:val="none"/>
          <w:lang w:bidi="ru-RU"/>
        </w:rPr>
        <w:t xml:space="preserve">эффективно</w:t>
      </w:r>
      <w:r>
        <w:rPr>
          <w:b w:val="0"/>
          <w:bCs w:val="0"/>
          <w:color w:val="000000"/>
          <w:highlight w:val="none"/>
          <w:lang w:bidi="ru-RU"/>
        </w:rPr>
        <w:t xml:space="preserve">сти </w:t>
      </w:r>
      <w:r>
        <w:rPr>
          <w:b w:val="0"/>
          <w:bCs w:val="0"/>
          <w:color w:val="000000"/>
          <w:highlight w:val="none"/>
          <w:lang w:bidi="ru-RU"/>
        </w:rPr>
        <w:t xml:space="preserve">реализации  региональной программы проводится ежегодно.</w:t>
      </w:r>
      <w:r>
        <w:rPr>
          <w:b w:val="0"/>
          <w:bCs w:val="0"/>
          <w:color w:val="00000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Экономическая эффективность региональной программы об</w:t>
      </w:r>
      <w:r>
        <w:rPr>
          <w:b w:val="0"/>
          <w:bCs w:val="0"/>
          <w:color w:val="000000"/>
          <w:highlight w:val="none"/>
          <w:lang w:bidi="ru-RU"/>
        </w:rPr>
        <w:t xml:space="preserve">еспечивается путем рационального использования средств федерального                        и областного бюджетов.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Бюджетная эффективность региональной программы будет выражаться в эффективном использовании и освоении указанных бюджетных средств.</w:t>
      </w:r>
      <w:r>
        <w:rPr>
          <w:b w:val="0"/>
          <w:bCs w:val="0"/>
          <w:color w:val="00000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Оценка эффективности реализации региональной программы осуществляется ответственным исполнителем региональной программы                   по итогам ее исполнения за отчетный период.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Источником информации для оценки эффективности реализации региональной программы являются соисполнители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Оценка достижения запланированных результатов за отчетный период измеряется на основании процентного сопоставления фактически </w:t>
      </w:r>
      <w:r>
        <w:rPr>
          <w:b w:val="0"/>
          <w:bCs w:val="0"/>
          <w:color w:val="000000"/>
          <w:highlight w:val="none"/>
          <w:lang w:bidi="ru-RU"/>
        </w:rPr>
        <w:t xml:space="preserve">до</w:t>
      </w:r>
      <w:r>
        <w:rPr>
          <w:b w:val="0"/>
          <w:bCs w:val="0"/>
          <w:color w:val="000000"/>
          <w:highlight w:val="none"/>
          <w:lang w:bidi="ru-RU"/>
        </w:rPr>
        <w:t xml:space="preserve">стигнутых значений целевых показателей за отчетный период                                            с их плановыми значениями за отчетный период.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Фактические значения целевых показателей за отчетный период определяются путем мониторинга, включающего в себ</w:t>
      </w:r>
      <w:r>
        <w:rPr>
          <w:b w:val="0"/>
          <w:bCs w:val="0"/>
          <w:color w:val="000000"/>
          <w:highlight w:val="none"/>
          <w:lang w:bidi="ru-RU"/>
        </w:rPr>
        <w:t xml:space="preserve">я сбор и анализ информации об исполнении указанных показателей.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Степень достижения за отчетный период запланированных значений целевых показателей является высокой, если это значение больше или равно 80 процентам.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8. </w:t>
      </w:r>
      <w:r>
        <w:rPr>
          <w:b w:val="0"/>
          <w:bCs w:val="0"/>
          <w:color w:val="000000"/>
          <w:highlight w:val="none"/>
          <w:lang w:bidi="ru-RU"/>
        </w:rPr>
        <w:t xml:space="preserve">Анализ рисков реализации региональной программы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и описание мер управления рисками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реализации региональной программы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Характер региональной программы порождает ряд следующих рисков при ее реализации, управление которыми входит в систему управления регио</w:t>
      </w:r>
      <w:r>
        <w:rPr>
          <w:b w:val="0"/>
          <w:bCs w:val="0"/>
          <w:color w:val="000000"/>
          <w:highlight w:val="none"/>
          <w:lang w:bidi="ru-RU"/>
        </w:rPr>
        <w:t xml:space="preserve">нальной программой: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отсутствие ожидаемых конечных результатов региональной программы, обеспечивающих ликвидацию задолженности                                               по предоставлению жилых помещений детям-сиротам и лицам из их числа;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отсутстви</w:t>
      </w:r>
      <w:r>
        <w:rPr>
          <w:b w:val="0"/>
          <w:bCs w:val="0"/>
          <w:color w:val="000000"/>
          <w:highlight w:val="none"/>
          <w:lang w:bidi="ru-RU"/>
        </w:rPr>
        <w:t xml:space="preserve">е предложений о приобретении на вторичном                                          рынке недвижимости уполномоченным органом исполнительной власти области, формируемым правительством области, жилья установленной пл</w:t>
      </w:r>
      <w:r>
        <w:rPr>
          <w:b w:val="0"/>
          <w:bCs w:val="0"/>
          <w:color w:val="000000"/>
          <w:highlight w:val="none"/>
          <w:lang w:bidi="ru-RU"/>
        </w:rPr>
        <w:t xml:space="preserve">ощади и соответствующего благоустройства для обеспечения им детей-сирот и лиц из их числа;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невозможность осуществления строительства жилья для детей-сирот и лиц из их числа ввиду недостаточности инженерной и дорожной инфраструктуры;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4) отсутствие застро</w:t>
      </w:r>
      <w:r>
        <w:rPr>
          <w:b w:val="0"/>
          <w:bCs w:val="0"/>
          <w:color w:val="000000"/>
          <w:highlight w:val="none"/>
          <w:lang w:bidi="ru-RU"/>
        </w:rPr>
        <w:t xml:space="preserve">йщиков для организации строительства жилья                       для детей-сирот и лиц из их числа на территориях муниципальных образований области.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В рамках реализации региональной программы могут быть выделены наиболее актуальные рис</w:t>
      </w:r>
      <w:r>
        <w:rPr>
          <w:b w:val="0"/>
          <w:bCs w:val="0"/>
          <w:color w:val="000000"/>
          <w:highlight w:val="none"/>
          <w:lang w:bidi="ru-RU"/>
        </w:rPr>
        <w:t xml:space="preserve">ки ее реализации: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к 2030 году не будет ликвидирована образовавшаяся задолженность   по предоставлению жилых помещений детям-сиротам и лицам из их числа;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не будет достигнута цель по обеспечению                                             жилыми помеще</w:t>
      </w:r>
      <w:r>
        <w:rPr>
          <w:b w:val="0"/>
          <w:bCs w:val="0"/>
          <w:color w:val="000000"/>
          <w:highlight w:val="none"/>
          <w:lang w:bidi="ru-RU"/>
        </w:rPr>
        <w:t xml:space="preserve">ниями детей-сирот и лиц из их числа в соответствии                        с Федеральным законом № 159-ФЗ и в порядке, установленном </w:t>
      </w:r>
      <w:r>
        <w:rPr>
          <w:b w:val="0"/>
          <w:bCs w:val="0"/>
          <w:color w:val="0d0d0d"/>
          <w:highlight w:val="none"/>
        </w:rPr>
        <w:t xml:space="preserve">                                законом области </w:t>
      </w:r>
      <w:r>
        <w:rPr>
          <w:rFonts w:eastAsia="Calibri"/>
          <w:b w:val="0"/>
          <w:bCs w:val="0"/>
          <w:highlight w:val="none"/>
        </w:rPr>
        <w:t xml:space="preserve">№ 488-ОЗ</w:t>
      </w:r>
      <w:r>
        <w:rPr>
          <w:b w:val="0"/>
          <w:bCs w:val="0"/>
          <w:color w:val="000000"/>
          <w:highlight w:val="none"/>
          <w:lang w:bidi="ru-RU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Меры управления, направленные на снижение рисков реализации меропр</w:t>
      </w:r>
      <w:r>
        <w:rPr>
          <w:b w:val="0"/>
          <w:bCs w:val="0"/>
          <w:color w:val="000000"/>
          <w:highlight w:val="none"/>
          <w:lang w:bidi="ru-RU"/>
        </w:rPr>
        <w:t xml:space="preserve">иятий региональной программы, включают: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стратегическое планирование и прогнозирование. Ответственный исполнитель и соисполнители региональной программы разрабатывают долгосрочные стратегии предоставления жилых помещений детям-сиротам                    </w:t>
      </w:r>
      <w:r>
        <w:rPr>
          <w:b w:val="0"/>
          <w:bCs w:val="0"/>
          <w:color w:val="000000"/>
          <w:highlight w:val="none"/>
          <w:lang w:bidi="ru-RU"/>
        </w:rPr>
        <w:t xml:space="preserve">   и лицам из их числа в соответствующих сферах нормативно-правового </w:t>
      </w:r>
      <w:r>
        <w:rPr>
          <w:b w:val="0"/>
          <w:bCs w:val="0"/>
          <w:color w:val="000000"/>
          <w:highlight w:val="none"/>
          <w:lang w:bidi="ru-RU"/>
        </w:rPr>
        <w:t xml:space="preserve">регулирования и обеспечивают контроль их исполнения;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применение правовых методов влияния (совокупность нормативных правовых актов федерального и областного уровней), способствующих реш</w:t>
      </w:r>
      <w:r>
        <w:rPr>
          <w:b w:val="0"/>
          <w:bCs w:val="0"/>
          <w:color w:val="000000"/>
          <w:highlight w:val="none"/>
          <w:lang w:bidi="ru-RU"/>
        </w:rPr>
        <w:t xml:space="preserve">ению задач региональной программы на всех уровнях исполнительной власти;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определение организационной структуры управления реализацией региональной программы (состав, функции и согласованность звеньев                        всех уровней управления).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Важн</w:t>
      </w:r>
      <w:r>
        <w:rPr>
          <w:b w:val="0"/>
          <w:bCs w:val="0"/>
          <w:color w:val="000000"/>
          <w:highlight w:val="none"/>
          <w:lang w:bidi="ru-RU"/>
        </w:rPr>
        <w:t xml:space="preserve">ейшим элементом реализации региональной программы является взаимосвязь планирования, реализации, мониторинга, уточнения                                      и корректировки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Принятие управленческих решений в рамках региональной прогр</w:t>
      </w:r>
      <w:r>
        <w:rPr>
          <w:b w:val="0"/>
          <w:bCs w:val="0"/>
          <w:color w:val="000000"/>
          <w:highlight w:val="none"/>
          <w:lang w:bidi="ru-RU"/>
        </w:rPr>
        <w:t xml:space="preserve">аммы осуществляется с учетом информации, поступающей от ответственного исполнителя и соисполнителей региональной программы.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Формирование и использование современной системы контроля                             на всех стадиях реализации региональной програ</w:t>
      </w:r>
      <w:r>
        <w:rPr>
          <w:b w:val="0"/>
          <w:bCs w:val="0"/>
          <w:color w:val="000000"/>
          <w:highlight w:val="none"/>
          <w:lang w:bidi="ru-RU"/>
        </w:rPr>
        <w:t xml:space="preserve">ммы является неотъемлемой составляющей механизма ее реализации.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В целях снижения возможных негативных последствий и рисков необходимо решение следующих задач: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1) определение методов и способов межведомственного взаимодействия в соответствии с задачами региональной программы              (на региональном уровне);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2) выявление и оценка потребностей в предложениях о приобретении</w:t>
      </w:r>
      <w:r>
        <w:rPr>
          <w:b w:val="0"/>
          <w:bCs w:val="0"/>
          <w:color w:val="000000"/>
          <w:highlight w:val="none"/>
          <w:lang w:bidi="ru-RU"/>
        </w:rPr>
        <w:t xml:space="preserve"> на вторичном рынке недвижимости уполномоченным органом исполнительной власти </w:t>
      </w:r>
      <w:r>
        <w:rPr>
          <w:b w:val="0"/>
          <w:bCs w:val="0"/>
          <w:color w:val="000000"/>
          <w:highlight w:val="none"/>
          <w:lang w:bidi="ru-RU"/>
        </w:rPr>
        <w:t xml:space="preserve">области, формируемым правительством области, жилых помещений установленной площади и соответствующего благоустройства </w:t>
      </w:r>
      <w:r>
        <w:rPr>
          <w:b w:val="0"/>
          <w:bCs w:val="0"/>
          <w:color w:val="000000"/>
          <w:highlight w:val="none"/>
          <w:lang w:bidi="ru-RU"/>
        </w:rPr>
        <w:t xml:space="preserve">для обеспечения ими детей-сирот и лиц из их числа;</w:t>
      </w:r>
      <w:r>
        <w:rPr>
          <w:b w:val="0"/>
          <w:bCs w:val="0"/>
          <w:color w:val="000000"/>
          <w:highlight w:val="none"/>
          <w:lang w:bidi="ru-RU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3) выявление проблем, негативно влияющих на реализацию региональной программы, в том числе анализ факторов, влияющих                        на возникновение проблем при предоставлении </w:t>
      </w:r>
      <w:r>
        <w:rPr>
          <w:b w:val="0"/>
          <w:bCs w:val="0"/>
          <w:color w:val="000000"/>
          <w:highlight w:val="none"/>
          <w:lang w:bidi="ru-RU"/>
        </w:rPr>
        <w:t xml:space="preserve">жилых помещений                         детям-сиротам и лицам из их числа, и разработка мер по их поэтапному устранению с учетом специфики области.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  <w:lang w:bidi="ru-RU"/>
        </w:rPr>
        <w:t xml:space="preserve">Финансирование мероприятий региональной программы в очередном финансовом году осуществл</w:t>
      </w:r>
      <w:r>
        <w:rPr>
          <w:b w:val="0"/>
          <w:bCs w:val="0"/>
          <w:color w:val="000000"/>
          <w:highlight w:val="none"/>
          <w:lang w:bidi="ru-RU"/>
        </w:rPr>
        <w:t xml:space="preserve">яется с учетом результатов мониторинга                              и оценки эффективности реализации региональной программы                                               в отчетный период.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709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  <w:sectPr>
          <w:headerReference w:type="default" r:id="rId12"/>
          <w:headerReference w:type="even" r:id="rId13"/>
          <w:headerReference w:type="first" r:id="rId14"/>
          <w:footerReference w:type="first" r:id="rId16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color w:val="000000"/>
          <w:highlight w:val="none"/>
          <w:lang w:bidi="ru-RU"/>
        </w:rPr>
        <w:t xml:space="preserve">Внесение изменений в региональную программу осуществляется        </w:t>
      </w:r>
      <w:r>
        <w:rPr>
          <w:b w:val="0"/>
          <w:bCs w:val="0"/>
          <w:color w:val="000000"/>
          <w:highlight w:val="none"/>
          <w:lang w:bidi="ru-RU"/>
        </w:rPr>
        <w:t xml:space="preserve">                по инициативе ответственного исполнителя и соисполнителей региональной программы либо во исполнение поручения правительства </w:t>
      </w:r>
      <w:r>
        <w:rPr>
          <w:b w:val="0"/>
          <w:bCs w:val="0"/>
          <w:color w:val="000000"/>
          <w:highlight w:val="none"/>
          <w:lang w:bidi="ru-RU"/>
        </w:rPr>
        <w:t xml:space="preserve">области.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0"/>
        <w:spacing w:line="240" w:lineRule="auto"/>
        <w:shd w:val="clear" w:color="auto" w:fill="auto"/>
        <w:tabs>
          <w:tab w:val="left" w:pos="7370" w:leader="none"/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  <w:t xml:space="preserve">                                                                                             </w:t>
      </w:r>
      <w:r>
        <w:rPr>
          <w:b w:val="0"/>
          <w:bCs w:val="0"/>
          <w:color w:val="000000"/>
          <w:highlight w:val="none"/>
        </w:rPr>
        <w:t xml:space="preserve">            </w:t>
      </w:r>
      <w:r>
        <w:rPr>
          <w:b w:val="0"/>
          <w:bCs w:val="0"/>
          <w:color w:val="000000"/>
          <w:highlight w:val="none"/>
        </w:rPr>
        <w:t xml:space="preserve">Приложение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к </w:t>
      </w:r>
      <w:r>
        <w:rPr>
          <w:b w:val="0"/>
          <w:bCs w:val="0"/>
          <w:sz w:val="28"/>
          <w:szCs w:val="28"/>
          <w:highlight w:val="none"/>
        </w:rPr>
        <w:t xml:space="preserve">региональной программе Еврейской автономной области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                     </w:t>
      </w:r>
      <w:r>
        <w:rPr>
          <w:b w:val="0"/>
          <w:bCs w:val="0"/>
          <w:sz w:val="28"/>
          <w:szCs w:val="28"/>
          <w:highlight w:val="none"/>
        </w:rPr>
        <w:t xml:space="preserve">«Поэтапная ликвидация до 2030 года образовавшейся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задолженности</w:t>
      </w:r>
      <w:r>
        <w:rPr>
          <w:b w:val="0"/>
          <w:bCs w:val="0"/>
          <w:sz w:val="28"/>
          <w:szCs w:val="28"/>
          <w:highlight w:val="none"/>
        </w:rPr>
        <w:t xml:space="preserve"> по обеспечению жилыми помещениями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детей-сирот и детей, оставшихся без попечения родителе</w:t>
      </w:r>
      <w:r>
        <w:rPr>
          <w:b w:val="0"/>
          <w:bCs w:val="0"/>
          <w:sz w:val="28"/>
          <w:szCs w:val="28"/>
          <w:highlight w:val="none"/>
        </w:rPr>
        <w:t xml:space="preserve">й,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лиц из числа детей-сирот и детей, оставшихся                           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без попечения родителей, лиц, которые относились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к категории детей-сирот и детей, оставшихся без попечения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родителей, </w:t>
      </w:r>
      <w:r>
        <w:rPr>
          <w:b w:val="0"/>
          <w:bCs w:val="0"/>
          <w:sz w:val="28"/>
          <w:szCs w:val="28"/>
          <w:highlight w:val="none"/>
        </w:rPr>
        <w:t xml:space="preserve">лиц из ч</w:t>
      </w:r>
      <w:r>
        <w:rPr>
          <w:b w:val="0"/>
          <w:bCs w:val="0"/>
          <w:sz w:val="28"/>
          <w:szCs w:val="28"/>
          <w:highlight w:val="none"/>
        </w:rPr>
        <w:t xml:space="preserve">исла детей-сирот и детей, оставшихся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</w:t>
      </w: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без попечения родителей, и достигли возраста 23 лет» 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left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highlight w:val="none"/>
        </w:rPr>
        <w:t xml:space="preserve">на 2024 – 2030 годы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10348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 w:firstLine="10348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  <w:t xml:space="preserve">Перечень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highlight w:val="none"/>
        </w:rPr>
      </w:pPr>
      <w:r>
        <w:rPr>
          <w:b w:val="0"/>
          <w:bCs w:val="0"/>
          <w:color w:val="000000"/>
          <w:highlight w:val="none"/>
        </w:rPr>
        <w:t xml:space="preserve">программных мероприятий</w:t>
      </w:r>
      <w:r>
        <w:rPr>
          <w:b w:val="0"/>
          <w:bCs w:val="0"/>
          <w:highlight w:val="none"/>
        </w:rPr>
      </w:r>
      <w:r/>
    </w:p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Style w:val="877"/>
        <w:tblW w:w="0" w:type="auto"/>
        <w:tblLook w:val="04A0" w:firstRow="1" w:lastRow="0" w:firstColumn="1" w:lastColumn="0" w:noHBand="0" w:noVBand="1"/>
      </w:tblPr>
      <w:tblGrid>
        <w:gridCol w:w="955"/>
        <w:gridCol w:w="5917"/>
        <w:gridCol w:w="2315"/>
        <w:gridCol w:w="2833"/>
        <w:gridCol w:w="276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№ п.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Мероприятие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Срок </w:t>
            </w: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реализации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03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Ожидаемый результат (форма реализации)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b w:val="0"/>
                <w:bCs w:val="0"/>
                <w:color w:val="000000"/>
                <w:szCs w:val="22"/>
                <w:highlight w:val="none"/>
              </w:rPr>
              <w:t xml:space="preserve">Ответственный исполнитель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Организационные мероприятия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>
          <w:trHeight w:val="4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1.1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Подведение итогов и оценка результатов выполнения программных мероприятий                           на уровне заседаний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рабочей гру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ппы                                          по распределению жилых помещений специализированного жилищного фонда Еврейской автономной области в соответствии с законом Еврейской автономной области                                               от 28.03.2014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№ 488-ОЗ «О дополнительных мерах социальной поддержки детей-сирот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и детей, оставшихся без попечения род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ителей,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в Еврейской автономной области»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                                 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Протоколы заседаний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й области, департамент                                по управлению государственным имуществом Еврейской автономной области, департамент строительства                              и жилищно-коммунального хозяйства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1.2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7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Подведение итогов реализации</w:t>
            </w:r>
            <w:r>
              <w:rPr>
                <w:b w:val="0"/>
                <w:bCs w:val="0"/>
                <w:color w:val="000000"/>
                <w:highlight w:val="none"/>
                <w:lang w:val="en-US"/>
              </w:rPr>
              <w:t xml:space="preserve">                                   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Плана мероприятий (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«дорожной карты»)                          на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2020 – 2025 годы по совершенствованию работы по обеспечению детей-сирот                                       и детей, оставшихся без попечения родителей, лиц из числа детей-сирот и детей, оставшихся без попечения родителей, жилыми помещениями на территор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ии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2024 – 2025 годы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Сокращение количества решений суда, находящихся             на исполнении                                    в правительстве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области, департамент                                по управлению государственным имуществом Еврейской автономной области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, департамент строительства                                   и жилищно-коммунального хозяйства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1.3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Подготовка изменений в нормативные правовые акты Еврейской автономной области в части расширения форм и механизмов обеспечения жилыми помещен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иями                                    детей-сирот и лиц из их числа в целях сокращения численности детей-сирот                                  и лиц из их числа, своевременно                                          не обеспеченных жилыми помещениями сп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ециализированного жилищного фонда                            по договорам найма специализированных жилых помещений в целях приведения законодательства Еврейской автономной области в соответствие с федеральным законодательством при внесении в него изменений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После внесения изменений                            в федеральное законодатель-ство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Приведение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за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конодательства Еврейской автономной области регулирующего вопросы обеспечения жилыми помещениями                          детей-сирот и лиц                                      из их числа,                          в соответствие                                 с федеральным законодательством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области, департамент                                по управлению государственным имуществом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3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Фор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мирование и ведение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списка детей-сирот и детей, оставшихся без попечения родителей,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rFonts w:eastAsia="Calibri"/>
                <w:b w:val="0"/>
                <w:bCs w:val="0"/>
                <w:highlight w:val="none"/>
              </w:rPr>
              <w:t xml:space="preserve">л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иц, которые относились к категории детей-сирот и детей, оставшихся без попечения родителей,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и достигли возраста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23 лет,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rFonts w:eastAsia="Calibri"/>
                <w:b w:val="0"/>
                <w:bCs w:val="0"/>
                <w:highlight w:val="none"/>
              </w:rPr>
              <w:t xml:space="preserve">которые подлежат обеспечению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>
          <w:trHeight w:val="60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7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Подведение итогов реализации</w:t>
            </w:r>
            <w:r>
              <w:rPr>
                <w:b w:val="0"/>
                <w:bCs w:val="0"/>
                <w:color w:val="000000"/>
                <w:highlight w:val="none"/>
                <w:lang w:val="en-US"/>
              </w:rPr>
              <w:t xml:space="preserve">                                   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Плана мероприятий (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«дорожной карты»)                            по усилению контроля за соблюдением требований федерального законодательства                         об обоснованности включения в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список                            детей-сирот и детей, оставшихся                                          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иц, которые относились                                    к категории детей-сирот и детей, оставшихся без попечения родителей,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                           детей-сирот и детей, оставшихся                                             без попечения родителей, и достигли                             возраста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23 лет,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которые подлежат обеспечению жилыми помещениями                                          на территории Еврейской автономной области, о ведении и формировании указанного списка,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утвержденного 01.02.2022 департаментом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Обеспечение организации деятельности                              по включению сведений в список детей-сирот и лиц                      из их числа, которые нуждаются                                   в обеспечении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Проведение мониторинга деятельности                              по вопросам включения в список                                           и обеспечения жилыми помещениями                            детей-сирот и лиц из их числа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Анализ ситуации                           по формированию                        и ведению списка детей-сирот и лиц                     из их числа, которые подлежат обеспечению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2.3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Анализ причин прогнозного увеличения общей численности детей-сирот и лиц из их числа, которые подлежат включению в список граждан, нуждающихся в обеспечении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                               в год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Составление на текущий год плана-графика включения        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детей-сирот и лиц                      из их числа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в список граждан, нуждающихся                               в обеспечении жилыми помещениями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Проведение инвентаризации сведений, включенных в список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детей-сирот                                         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иц, которые относились к категории детей-сирот                                           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и достигли возраста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23 лет, которые подлежат обеспечению жилыми помещениями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rFonts w:eastAsia="Calibri"/>
                <w:b w:val="0"/>
                <w:bCs w:val="0"/>
                <w:highlight w:val="none"/>
              </w:rPr>
            </w:pPr>
            <w:r>
              <w:rPr>
                <w:rFonts w:eastAsia="Calibri"/>
                <w:b w:val="0"/>
                <w:bCs w:val="0"/>
                <w:highlight w:val="none"/>
              </w:rPr>
              <w:t xml:space="preserve">Контроль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своевременности исключения сведений об указанных лицах из списка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граждан, нуждающихся в обеспечении жилыми помещениями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, в случаях, которые установлены федеральным законодательством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                                 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Актуализация списка детей-сирот и лиц                     из их числа, подлежащих обеспечению жилыми помещениями.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Недопущение случаев несвоевременного исключения сведений о детях-сиротах и лицах                         из их числа                                  при наличии установленных оснований для этого.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Обеспечение исполнения требований федерального законодательства в части правомерности включения сведений в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список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детей-сирот и детей, оставшихся                                        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                         детей-сирот и детей, оставшихся                                без попечения родителей,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иц, которые относились к категории детей-сирот                                           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и достигли возраста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23 лет, которые подлежат обеспечению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Постоянно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Исключение случаев неправомерного включения сведений о детях-сиротах                             и лицах из их числа                                    в список граждан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, нуждающихся                             в обеспечении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2.6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Своевременное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размещение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в Единой государственной информационной системе социального обеспечения (с 01 января                                   2024 года – в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государственной информационной системе «Единая централизованная цифровая платформа                                        в социальной сфере»)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информации                                  о включении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сведений в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список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детей-сирот                           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иц, которые относились к категории детей-сирот                                       и детей, оставшихся без попечения родителей,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лиц из числа детей-сирот и детей, оставшихся без попечения родителей, и достигли возраста</w:t>
            </w:r>
            <w:r>
              <w:rPr>
                <w:rFonts w:eastAsia="Calibri"/>
                <w:b w:val="0"/>
                <w:bCs w:val="0"/>
                <w:highlight w:val="none"/>
              </w:rPr>
              <w:t xml:space="preserve"> 23 лет, которые подлежат обеспечению жилыми помещениями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Постоянно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Размещение                                   в действующей единой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государственной информационной системе актуальной информации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3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Сохранность жилых помещений,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п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раво собственности на которое или право пользования которым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принадлежит детям-сиротам и детям, оставшимся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(дополнительные мероприятия по сокращению количества детей-сирот и лиц из их числа, сведения о которых могут быть включены в список граждан,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нуждающихся в обеспечении жилыми помещениями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)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3.1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Подведение итогов исполнения                                    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Плана мероприятий («дорожной карты»)                               по контролю за своевременным принятием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мер, направленных на обеспечение сохранности жилых помещений, закрепленных за детьми-сиротами и детьми, оставшимися         без попечения родителей, опекуном (попечителем) которых являются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областны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государственны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учреждения, функции                              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и полномочия учредителя которых осуществляет департамент социальной защиты населения правительства Еврейской автономной области, утвержденного приказом департамента социальной защиты населения правительства Еврейской автономной области от 16.12.2001 № 3387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деятельности                              по обеспечению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сохранности жилых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помещений, закрепленных                               за детьми-сиротами           и детьми, оставшимися                    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, областны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государственны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учреждения, функции                              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  <w:lang w:val="en-US"/>
              </w:rPr>
              <w:t xml:space="preserve">3</w:t>
            </w:r>
            <w:r>
              <w:rPr>
                <w:b w:val="0"/>
                <w:bCs w:val="0"/>
                <w:color w:val="000000"/>
                <w:highlight w:val="none"/>
                <w:lang w:val="ru-RU"/>
              </w:rPr>
              <w:t xml:space="preserve">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Осуществление контроля за сохранностью жилых помещений, нанимателями                                        или членами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семей нанимателей по договорам социального найма либо собственниками которых являются дети-сироты                           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               и дети, оставшиеся без попечения родителей, за обеспечением надлежащего санитарного                          и технического состояния данных                                     жилых помещений, а также осуществление контроля за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распоряжением ими в порядке, установленном законодательством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  <w:lang w:val="ru-RU"/>
              </w:rPr>
              <w:t xml:space="preserve">Один раз                                    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Составление актов проверок закрепленных     жилых помещений.                                        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Выявление обстоятельств, свидетельствующих о ненадлежащем санитарном и (или) техническом состоянии                                жилых помещений.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Инициировани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е принятия необходимых мер                      по устранению допущенных нарушений закона, несоблюдения прав     и законных интересов детей-сирот                                      и детей, оставшихся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3.3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Формирования и ведение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реестра                               жилых помещений, нанимателями                                    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Постоянно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учета закрепленных    жилых помещений                        в целях контроля                             за их сохранностью,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обеспечением надлежащего                              их санитарного                          и технического состояния, а также                                           за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распоряжением ими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3.4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и проведение инструктивных совещаний и семинаров, подготовка информационно-методических материалов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                    для специалистов департамента социальной защиты населения правительства Еврейской автономной области, областных государственных учреждений, функции                               и полномочия учредителя которых осуществляет департамент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социальной защиты населения правительства Еврейской автономной области,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образования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Еврейской автономной области, по вопросам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о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существления контроля за сохранностью жилых помещений, нанимателями                                        или членами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семей нанимателей по договорам социального найма либо собственниками которых являются дети-сироты                           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               и дети, оставшиеся без попечения родителей, за обеспечением надлежащего санитарного                          и технического состояния данных                               жилых помещений, а также осуществления контроля за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распоряжением ими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                                 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Осуществление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консультативно-методического сопровождения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деятельности                              по обеспечению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сохранности жилых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помещений, закрепленных                               за детьми-сиротами           и детьми, оставшимися                    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департамент образования Еврейской автономной области,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областны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государственны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учреждения, функции                              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департамент образования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  <w:lang w:val="en-US"/>
              </w:rPr>
              <w:t xml:space="preserve">4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3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Постинтернатное сопровождение лиц из числа детей-сирот и детей, оставшихся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4.1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и осуществление постинтернатного сопровождения                                    лиц из числа детей-сирот и детей, оставшихся                                          без попечения родителей, по окончан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ии срока пребывания в областных государственных учреждениях и замещающих семьях                                         в целях оказания им всестороннего содействия                                в успешной адаптации к самостоятельному проживанию в социуме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2024 – 2030 годы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Увеличение количества социально адаптированных и социализированных лиц из числа                               детей-сирот и детей, оставшихся                               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социал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ьной защиты населения правительства Еврейской автономной области, департамент образования Еврейской автономной области, департамент здравоохранения правительства Еврейской автономной области, департамент культуры правительства Еврейской автономной области,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областны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государственны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е 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учреждения, функции                              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rPr>
                <w:rFonts w:ascii="Times New Roman" w:hAnsi="Times New Roman" w:eastAsia="SimSu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SimSun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 xml:space="preserve">департамент образования Еврейской автономной области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, департамент здравоохранения правительства Еврейской автономной области, департамент культуры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4.2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и осуществление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наставничества над лицами из числа детей-сирот                                              и детей, оставшихся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2024 – 2030 годы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Обеспечение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социальной адаптации                                   и социализации                       лиц из числа детей-сирот и детей, оставшихся                             без попечения родителей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4.3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7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Информирование и консультирование                          детей-сирот и детей, оставшихся                                       без попечения родителей, лиц из их числа                         о порядке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предоставления им                                 жилых помещений </w:t>
            </w:r>
            <w:r>
              <w:rPr>
                <w:b w:val="0"/>
                <w:bCs w:val="0"/>
                <w:highlight w:val="none"/>
              </w:rPr>
              <w:t xml:space="preserve">специализированного жилищного фонда </w:t>
            </w:r>
            <w:r>
              <w:rPr>
                <w:b w:val="0"/>
                <w:bCs w:val="0"/>
                <w:szCs w:val="20"/>
                <w:highlight w:val="none"/>
              </w:rPr>
              <w:t xml:space="preserve">по договорам найма специализированных жилых помещений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Постоянно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Снижение количества случаев нарушения жилищных прав детей-сирот и детей, оставшихся                            без попечения родителей, лиц из их числа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5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30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Формирование государственного специализированного жилищного фонда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5.1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Организация систематических встреч                                 с застройщиками на территории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Постоянно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Организационное обеспечение достижения целевого показателя региональной программы – строительство соответствующих многоквартирных домов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строительства                               и жилищно-коммунального хозяйства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5.2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7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Осуществление контроля за состоянием строящихся и предоставляемых лицам из числа детей-сирот и детей, оставшихся                                      без попечения родителей, жилых помещений </w:t>
            </w:r>
            <w:r>
              <w:rPr>
                <w:b w:val="0"/>
                <w:bCs w:val="0"/>
                <w:highlight w:val="none"/>
              </w:rPr>
              <w:t xml:space="preserve">специализированного жилищного фонда                              </w:t>
            </w:r>
            <w:r>
              <w:rPr>
                <w:b w:val="0"/>
                <w:bCs w:val="0"/>
                <w:szCs w:val="20"/>
                <w:highlight w:val="none"/>
              </w:rPr>
              <w:t xml:space="preserve">по договорам найма специализированных жилых помещений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2024 – 2030 годы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Увеличение количества лиц                          из числа детей-сирот и детей, оставшихся без попечения родителей, которые обеспечены жилыми помещениями                               в построенных многоквартирных домах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5" w:type="dxa"/>
            <w:vMerge w:val="restart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Департамент строительства                               и жилищно-коммунального хозяйства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5.3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7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Анализ деятельности по предоставлению,                                  </w:t>
            </w:r>
            <w:r>
              <w:rPr>
                <w:b w:val="0"/>
                <w:bCs w:val="0"/>
                <w:szCs w:val="20"/>
                <w:highlight w:val="none"/>
              </w:rPr>
              <w:t xml:space="preserve">в том числе во исполнение решений суда,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жилых помещений </w:t>
            </w:r>
            <w:r>
              <w:rPr>
                <w:b w:val="0"/>
                <w:bCs w:val="0"/>
                <w:highlight w:val="none"/>
              </w:rPr>
              <w:t xml:space="preserve">специализированного жилищного фонда </w:t>
            </w:r>
            <w:r>
              <w:rPr>
                <w:b w:val="0"/>
                <w:bCs w:val="0"/>
                <w:szCs w:val="20"/>
                <w:highlight w:val="none"/>
              </w:rPr>
              <w:t xml:space="preserve">по договорам найма специализированных жилых помещений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лицам из числа детей-сирот и детей, оставшихся без попечения родителей                               </w:t>
            </w:r>
            <w:r>
              <w:rPr>
                <w:b w:val="0"/>
                <w:bCs w:val="0"/>
                <w:szCs w:val="20"/>
                <w:highlight w:val="none"/>
              </w:rPr>
              <w:t xml:space="preserve">                            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textDirection w:val="lrTb"/>
            <w:noWrap w:val="false"/>
          </w:tcPr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Один раз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center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в полгода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Распределение    лицам из числа детей-сирот и детей, оставшихся                             без попечения родителей,                            жилых помещений специализированного жилого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фонда,                     в том числе перераспределение освободившихся                          в соответствующих случаях                                жилых помещений.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  <w:t xml:space="preserve">Своевременное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заключение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лицами из числа детей-сирот и детей, оставшихся                             без попечения родителей,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договоров найма специализированных жилых помещений.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Сокращение количества решений суда, находящихся             на исполнении                                    в правительстве Еврейской автономной области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.</w:t>
            </w:r>
            <w:r>
              <w:rPr>
                <w:b w:val="0"/>
                <w:bCs w:val="0"/>
                <w:color w:val="00000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5" w:type="dxa"/>
            <w:textDirection w:val="lrTb"/>
            <w:noWrap w:val="false"/>
          </w:tcPr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,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1033"/>
              <w:ind w:right="-1"/>
              <w:jc w:val="both"/>
              <w:spacing w:line="240" w:lineRule="auto"/>
              <w:shd w:val="clear" w:color="auto" w:fill="auto"/>
              <w:tabs>
                <w:tab w:val="left" w:pos="9356" w:leader="none"/>
              </w:tabs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  <w:t xml:space="preserve">д</w:t>
            </w:r>
            <w:r>
              <w:rPr>
                <w:b w:val="0"/>
                <w:bCs w:val="0"/>
                <w:color w:val="000000"/>
                <w:highlight w:val="none"/>
              </w:rPr>
              <w:t xml:space="preserve">епартамент строительства                               и жилищно-коммунального хозяйства правительства Еврейской автономной области</w:t>
            </w:r>
            <w:r>
              <w:rPr>
                <w:b w:val="0"/>
                <w:bCs w:val="0"/>
                <w:highlight w:val="none"/>
              </w:rPr>
            </w:r>
            <w:r/>
          </w:p>
        </w:tc>
      </w:tr>
    </w:tbl>
    <w:p>
      <w:pPr>
        <w:pStyle w:val="1033"/>
        <w:ind w:right="-1"/>
        <w:jc w:val="center"/>
        <w:spacing w:line="240" w:lineRule="auto"/>
        <w:shd w:val="clear" w:color="auto" w:fill="auto"/>
        <w:tabs>
          <w:tab w:val="left" w:pos="9356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highlight w:val="none"/>
        </w:rPr>
      </w:r>
      <w:r/>
    </w:p>
    <w:sectPr>
      <w:footnotePr/>
      <w:endnotePr/>
      <w:type w:val="nextPage"/>
      <w:pgSz w:w="16838" w:h="11906" w:orient="landscape"/>
      <w:pgMar w:top="1418" w:right="851" w:bottom="141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rebuchet MS">
    <w:panose1 w:val="020B0603020202020204"/>
  </w:font>
  <w:font w:name="SimSun">
    <w:panose1 w:val="02010600030101010101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Gulim">
    <w:panose1 w:val="020B0500000000000000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13</w:t>
    </w:r>
    <w:r>
      <w:fldChar w:fldCharType="end"/>
    </w:r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/>
    <w:r/>
  </w:p>
  <w:p>
    <w:pPr>
      <w:pStyle w:val="87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13</w:t>
    </w:r>
    <w:r>
      <w:fldChar w:fldCharType="end"/>
    </w:r>
    <w:r/>
  </w:p>
  <w:p>
    <w:pPr>
      <w:pStyle w:val="87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29">
    <w:name w:val="Heading 1"/>
    <w:basedOn w:val="828"/>
    <w:next w:val="828"/>
    <w:link w:val="1028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30">
    <w:name w:val="Heading 2"/>
    <w:basedOn w:val="828"/>
    <w:next w:val="828"/>
    <w:link w:val="10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31">
    <w:name w:val="Heading 3"/>
    <w:basedOn w:val="828"/>
    <w:next w:val="828"/>
    <w:link w:val="102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2">
    <w:name w:val="Heading 4"/>
    <w:basedOn w:val="828"/>
    <w:next w:val="828"/>
    <w:link w:val="102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33">
    <w:name w:val="Heading 5"/>
    <w:basedOn w:val="828"/>
    <w:next w:val="828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34">
    <w:name w:val="Heading 6"/>
    <w:basedOn w:val="828"/>
    <w:next w:val="828"/>
    <w:link w:val="8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>
    <w:name w:val="Heading 7"/>
    <w:basedOn w:val="828"/>
    <w:next w:val="828"/>
    <w:link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828"/>
    <w:next w:val="828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828"/>
    <w:next w:val="828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Heading 5 Char"/>
    <w:basedOn w:val="838"/>
    <w:uiPriority w:val="9"/>
    <w:rPr>
      <w:rFonts w:ascii="Arial" w:hAnsi="Arial" w:eastAsia="Arial" w:cs="Arial"/>
      <w:b/>
      <w:bCs/>
      <w:sz w:val="24"/>
      <w:szCs w:val="24"/>
    </w:rPr>
  </w:style>
  <w:style w:type="character" w:styleId="842" w:customStyle="1">
    <w:name w:val="Heading 6 Char"/>
    <w:basedOn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843" w:customStyle="1">
    <w:name w:val="Heading 7 Char"/>
    <w:basedOn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4" w:customStyle="1">
    <w:name w:val="Heading 8 Char"/>
    <w:basedOn w:val="838"/>
    <w:uiPriority w:val="9"/>
    <w:rPr>
      <w:rFonts w:ascii="Arial" w:hAnsi="Arial" w:eastAsia="Arial" w:cs="Arial"/>
      <w:i/>
      <w:iCs/>
      <w:sz w:val="22"/>
      <w:szCs w:val="22"/>
    </w:rPr>
  </w:style>
  <w:style w:type="character" w:styleId="845" w:customStyle="1">
    <w:name w:val="Heading 9 Char"/>
    <w:basedOn w:val="838"/>
    <w:uiPriority w:val="9"/>
    <w:rPr>
      <w:rFonts w:ascii="Arial" w:hAnsi="Arial" w:eastAsia="Arial" w:cs="Arial"/>
      <w:i/>
      <w:iCs/>
      <w:sz w:val="21"/>
      <w:szCs w:val="21"/>
    </w:rPr>
  </w:style>
  <w:style w:type="character" w:styleId="846" w:customStyle="1">
    <w:name w:val="Title Char"/>
    <w:basedOn w:val="838"/>
    <w:uiPriority w:val="10"/>
    <w:rPr>
      <w:sz w:val="48"/>
      <w:szCs w:val="48"/>
    </w:rPr>
  </w:style>
  <w:style w:type="character" w:styleId="847" w:customStyle="1">
    <w:name w:val="Subtitle Char"/>
    <w:basedOn w:val="838"/>
    <w:uiPriority w:val="11"/>
    <w:rPr>
      <w:sz w:val="24"/>
      <w:szCs w:val="24"/>
    </w:rPr>
  </w:style>
  <w:style w:type="character" w:styleId="848" w:customStyle="1">
    <w:name w:val="Quote Char"/>
    <w:uiPriority w:val="29"/>
    <w:rPr>
      <w:i/>
    </w:rPr>
  </w:style>
  <w:style w:type="character" w:styleId="849" w:customStyle="1">
    <w:name w:val="Intense Quote Char"/>
    <w:uiPriority w:val="30"/>
    <w:rPr>
      <w:i/>
    </w:rPr>
  </w:style>
  <w:style w:type="character" w:styleId="850" w:customStyle="1">
    <w:name w:val="Footnote Text Char"/>
    <w:uiPriority w:val="99"/>
    <w:rPr>
      <w:sz w:val="18"/>
    </w:rPr>
  </w:style>
  <w:style w:type="character" w:styleId="851" w:customStyle="1">
    <w:name w:val="Endnote Text Char"/>
    <w:uiPriority w:val="99"/>
    <w:rPr>
      <w:sz w:val="20"/>
    </w:rPr>
  </w:style>
  <w:style w:type="character" w:styleId="8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53" w:customStyle="1">
    <w:name w:val="Heading 2 Char"/>
    <w:uiPriority w:val="9"/>
    <w:rPr>
      <w:rFonts w:ascii="Arial" w:hAnsi="Arial" w:eastAsia="Arial" w:cs="Arial"/>
      <w:sz w:val="34"/>
    </w:rPr>
  </w:style>
  <w:style w:type="character" w:styleId="85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56" w:customStyle="1">
    <w:name w:val="Заголовок 5 Знак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57" w:customStyle="1">
    <w:name w:val="Заголовок 6 Знак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58" w:customStyle="1">
    <w:name w:val="Заголовок 7 Знак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9" w:customStyle="1">
    <w:name w:val="Заголовок 8 Знак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60" w:customStyle="1">
    <w:name w:val="Заголовок 9 Знак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List Paragraph"/>
    <w:basedOn w:val="828"/>
    <w:uiPriority w:val="34"/>
    <w:qFormat/>
    <w:pPr>
      <w:contextualSpacing/>
      <w:ind w:left="720"/>
    </w:pPr>
  </w:style>
  <w:style w:type="paragraph" w:styleId="862">
    <w:name w:val="No Spacing"/>
    <w:uiPriority w:val="1"/>
    <w:qFormat/>
    <w:rPr>
      <w:sz w:val="22"/>
      <w:szCs w:val="22"/>
      <w:lang w:eastAsia="en-US"/>
    </w:rPr>
  </w:style>
  <w:style w:type="paragraph" w:styleId="863">
    <w:name w:val="Title"/>
    <w:basedOn w:val="828"/>
    <w:next w:val="828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 w:customStyle="1">
    <w:name w:val="Заголовок Знак"/>
    <w:link w:val="863"/>
    <w:uiPriority w:val="10"/>
    <w:rPr>
      <w:sz w:val="48"/>
      <w:szCs w:val="48"/>
    </w:rPr>
  </w:style>
  <w:style w:type="paragraph" w:styleId="865">
    <w:name w:val="Subtitle"/>
    <w:basedOn w:val="828"/>
    <w:next w:val="828"/>
    <w:link w:val="866"/>
    <w:uiPriority w:val="11"/>
    <w:qFormat/>
    <w:pPr>
      <w:spacing w:before="200" w:after="200"/>
    </w:pPr>
  </w:style>
  <w:style w:type="character" w:styleId="866" w:customStyle="1">
    <w:name w:val="Подзаголовок Знак"/>
    <w:link w:val="865"/>
    <w:uiPriority w:val="11"/>
    <w:rPr>
      <w:sz w:val="24"/>
      <w:szCs w:val="24"/>
    </w:rPr>
  </w:style>
  <w:style w:type="paragraph" w:styleId="867">
    <w:name w:val="Quote"/>
    <w:basedOn w:val="828"/>
    <w:next w:val="828"/>
    <w:link w:val="868"/>
    <w:uiPriority w:val="29"/>
    <w:qFormat/>
    <w:pPr>
      <w:ind w:left="720" w:right="720"/>
    </w:pPr>
    <w:rPr>
      <w:i/>
    </w:rPr>
  </w:style>
  <w:style w:type="character" w:styleId="868" w:customStyle="1">
    <w:name w:val="Цитата 2 Знак"/>
    <w:link w:val="867"/>
    <w:uiPriority w:val="29"/>
    <w:rPr>
      <w:i/>
    </w:rPr>
  </w:style>
  <w:style w:type="paragraph" w:styleId="869">
    <w:name w:val="Intense Quote"/>
    <w:basedOn w:val="828"/>
    <w:next w:val="828"/>
    <w:link w:val="8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 w:customStyle="1">
    <w:name w:val="Выделенная цитата Знак"/>
    <w:link w:val="869"/>
    <w:uiPriority w:val="30"/>
    <w:rPr>
      <w:i/>
    </w:rPr>
  </w:style>
  <w:style w:type="paragraph" w:styleId="871">
    <w:name w:val="Header"/>
    <w:basedOn w:val="828"/>
    <w:link w:val="10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Header Char"/>
    <w:uiPriority w:val="99"/>
  </w:style>
  <w:style w:type="paragraph" w:styleId="873">
    <w:name w:val="Footer"/>
    <w:basedOn w:val="828"/>
    <w:link w:val="10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Footer Char"/>
    <w:uiPriority w:val="99"/>
  </w:style>
  <w:style w:type="paragraph" w:styleId="875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76" w:customStyle="1">
    <w:name w:val="Caption Char"/>
    <w:uiPriority w:val="99"/>
  </w:style>
  <w:style w:type="table" w:styleId="877">
    <w:name w:val="Table Grid"/>
    <w:basedOn w:val="839"/>
    <w:uiPriority w:val="59"/>
    <w:tblPr/>
  </w:style>
  <w:style w:type="table" w:styleId="8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03">
    <w:name w:val="Hyperlink"/>
    <w:rPr>
      <w:color w:val="0000ff"/>
      <w:u w:val="single"/>
    </w:rPr>
  </w:style>
  <w:style w:type="paragraph" w:styleId="1004">
    <w:name w:val="footnote text"/>
    <w:basedOn w:val="828"/>
    <w:link w:val="1005"/>
    <w:uiPriority w:val="99"/>
    <w:semiHidden/>
    <w:unhideWhenUsed/>
    <w:pPr>
      <w:spacing w:after="40"/>
    </w:pPr>
    <w:rPr>
      <w:sz w:val="18"/>
    </w:rPr>
  </w:style>
  <w:style w:type="character" w:styleId="1005" w:customStyle="1">
    <w:name w:val="Текст сноски Знак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828"/>
    <w:link w:val="1008"/>
    <w:uiPriority w:val="99"/>
    <w:semiHidden/>
    <w:unhideWhenUsed/>
    <w:rPr>
      <w:sz w:val="20"/>
    </w:rPr>
  </w:style>
  <w:style w:type="character" w:styleId="1008" w:customStyle="1">
    <w:name w:val="Текст концевой сноски Знак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828"/>
    <w:next w:val="828"/>
    <w:uiPriority w:val="39"/>
    <w:unhideWhenUsed/>
    <w:pPr>
      <w:spacing w:after="57"/>
    </w:pPr>
  </w:style>
  <w:style w:type="paragraph" w:styleId="1011">
    <w:name w:val="toc 2"/>
    <w:basedOn w:val="828"/>
    <w:next w:val="828"/>
    <w:uiPriority w:val="39"/>
    <w:unhideWhenUsed/>
    <w:pPr>
      <w:ind w:left="283"/>
      <w:spacing w:after="57"/>
    </w:pPr>
  </w:style>
  <w:style w:type="paragraph" w:styleId="1012">
    <w:name w:val="toc 3"/>
    <w:basedOn w:val="828"/>
    <w:next w:val="828"/>
    <w:uiPriority w:val="39"/>
    <w:unhideWhenUsed/>
    <w:pPr>
      <w:ind w:left="567"/>
      <w:spacing w:after="57"/>
    </w:pPr>
  </w:style>
  <w:style w:type="paragraph" w:styleId="1013">
    <w:name w:val="toc 4"/>
    <w:basedOn w:val="828"/>
    <w:next w:val="828"/>
    <w:uiPriority w:val="39"/>
    <w:unhideWhenUsed/>
    <w:pPr>
      <w:ind w:left="850"/>
      <w:spacing w:after="57"/>
    </w:pPr>
  </w:style>
  <w:style w:type="paragraph" w:styleId="1014">
    <w:name w:val="toc 5"/>
    <w:basedOn w:val="828"/>
    <w:next w:val="828"/>
    <w:uiPriority w:val="39"/>
    <w:unhideWhenUsed/>
    <w:pPr>
      <w:ind w:left="1134"/>
      <w:spacing w:after="57"/>
    </w:pPr>
  </w:style>
  <w:style w:type="paragraph" w:styleId="1015">
    <w:name w:val="toc 6"/>
    <w:basedOn w:val="828"/>
    <w:next w:val="828"/>
    <w:uiPriority w:val="39"/>
    <w:unhideWhenUsed/>
    <w:pPr>
      <w:ind w:left="1417"/>
      <w:spacing w:after="57"/>
    </w:pPr>
  </w:style>
  <w:style w:type="paragraph" w:styleId="1016">
    <w:name w:val="toc 7"/>
    <w:basedOn w:val="828"/>
    <w:next w:val="828"/>
    <w:uiPriority w:val="39"/>
    <w:unhideWhenUsed/>
    <w:pPr>
      <w:ind w:left="1701"/>
      <w:spacing w:after="57"/>
    </w:pPr>
  </w:style>
  <w:style w:type="paragraph" w:styleId="1017">
    <w:name w:val="toc 8"/>
    <w:basedOn w:val="828"/>
    <w:next w:val="828"/>
    <w:uiPriority w:val="39"/>
    <w:unhideWhenUsed/>
    <w:pPr>
      <w:ind w:left="1984"/>
      <w:spacing w:after="57"/>
    </w:pPr>
  </w:style>
  <w:style w:type="paragraph" w:styleId="1018">
    <w:name w:val="toc 9"/>
    <w:basedOn w:val="828"/>
    <w:next w:val="828"/>
    <w:uiPriority w:val="39"/>
    <w:unhideWhenUsed/>
    <w:pPr>
      <w:ind w:left="2268"/>
      <w:spacing w:after="57"/>
    </w:pPr>
  </w:style>
  <w:style w:type="paragraph" w:styleId="1019">
    <w:name w:val="TOC Heading"/>
    <w:uiPriority w:val="39"/>
    <w:unhideWhenUsed/>
    <w:rPr>
      <w:lang w:eastAsia="zh-CN"/>
    </w:rPr>
  </w:style>
  <w:style w:type="paragraph" w:styleId="1020">
    <w:name w:val="table of figures"/>
    <w:basedOn w:val="828"/>
    <w:next w:val="828"/>
    <w:uiPriority w:val="99"/>
    <w:unhideWhenUsed/>
  </w:style>
  <w:style w:type="character" w:styleId="1021" w:customStyle="1">
    <w:name w:val="Заголовок 2 Знак"/>
    <w:link w:val="83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022" w:customStyle="1">
    <w:name w:val="Заголовок 3 Знак"/>
    <w:link w:val="831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1023" w:customStyle="1">
    <w:name w:val="Заголовок 4 Знак"/>
    <w:link w:val="83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024">
    <w:name w:val="Balloon Text"/>
    <w:basedOn w:val="828"/>
    <w:link w:val="1025"/>
    <w:uiPriority w:val="99"/>
    <w:semiHidden/>
    <w:unhideWhenUsed/>
    <w:rPr>
      <w:rFonts w:ascii="Tahoma" w:hAnsi="Tahoma" w:cs="Tahoma"/>
      <w:sz w:val="16"/>
      <w:szCs w:val="16"/>
    </w:rPr>
  </w:style>
  <w:style w:type="character" w:styleId="1025" w:customStyle="1">
    <w:name w:val="Текст выноски Знак"/>
    <w:link w:val="10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26" w:customStyle="1">
    <w:name w:val="Верхний колонтитул Знак"/>
    <w:link w:val="87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7" w:customStyle="1">
    <w:name w:val="Нижний колонтитул Знак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8" w:customStyle="1">
    <w:name w:val="Заголовок 1 Знак"/>
    <w:link w:val="829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1029">
    <w:name w:val="Body Text"/>
    <w:basedOn w:val="828"/>
    <w:link w:val="1030"/>
    <w:uiPriority w:val="99"/>
    <w:pPr>
      <w:jc w:val="both"/>
    </w:pPr>
    <w:rPr>
      <w:rFonts w:eastAsia="SimSun"/>
      <w:sz w:val="28"/>
    </w:rPr>
  </w:style>
  <w:style w:type="character" w:styleId="1030" w:customStyle="1">
    <w:name w:val="Основной текст Знак"/>
    <w:link w:val="1029"/>
    <w:uiPriority w:val="99"/>
    <w:rPr>
      <w:rFonts w:ascii="Times New Roman" w:hAnsi="Times New Roman" w:eastAsia="SimSun" w:cs="Times New Roman"/>
      <w:sz w:val="28"/>
      <w:szCs w:val="24"/>
      <w:lang w:eastAsia="ru-RU"/>
    </w:rPr>
  </w:style>
  <w:style w:type="paragraph" w:styleId="1031" w:customStyle="1">
    <w:name w:val="ConsPlusNormal"/>
    <w:rPr>
      <w:rFonts w:ascii="Arial" w:hAnsi="Arial" w:eastAsia="SimSun" w:cs="Arial"/>
    </w:rPr>
  </w:style>
  <w:style w:type="character" w:styleId="1032" w:customStyle="1">
    <w:name w:val="Основной текст (2)_"/>
    <w:link w:val="1033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1033" w:customStyle="1">
    <w:name w:val="Основной текст (2)"/>
    <w:basedOn w:val="828"/>
    <w:link w:val="1032"/>
    <w:pPr>
      <w:jc w:val="both"/>
      <w:spacing w:line="360" w:lineRule="exact"/>
      <w:shd w:val="clear" w:color="auto" w:fill="ffffff"/>
      <w:widowControl w:val="off"/>
    </w:pPr>
    <w:rPr>
      <w:sz w:val="28"/>
      <w:szCs w:val="28"/>
    </w:rPr>
  </w:style>
  <w:style w:type="character" w:styleId="1034" w:customStyle="1">
    <w:name w:val="Колонтитул_"/>
    <w:rPr>
      <w:rFonts w:ascii="Arial" w:hAnsi="Arial" w:eastAsia="Arial" w:cs="Arial"/>
      <w:sz w:val="16"/>
      <w:szCs w:val="16"/>
      <w:u w:val="none"/>
    </w:rPr>
  </w:style>
  <w:style w:type="character" w:styleId="1035" w:customStyle="1">
    <w:name w:val="Колонтитул + Times New Roman;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1036" w:customStyle="1">
    <w:name w:val="Колонтитул"/>
    <w:rPr>
      <w:rFonts w:ascii="Arial" w:hAnsi="Arial" w:eastAsia="Arial" w:cs="Arial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1037" w:customStyle="1">
    <w:name w:val="Колонтитул + 4 pt;Курсив;Интервал 1 pt"/>
    <w:rPr>
      <w:rFonts w:ascii="Arial" w:hAnsi="Arial" w:eastAsia="Arial" w:cs="Arial"/>
      <w:i/>
      <w:iCs/>
      <w:color w:val="000000"/>
      <w:spacing w:val="20"/>
      <w:position w:val="0"/>
      <w:sz w:val="8"/>
      <w:szCs w:val="8"/>
      <w:u w:val="none"/>
      <w:lang w:val="ru-RU" w:eastAsia="ru-RU" w:bidi="ru-RU"/>
    </w:rPr>
  </w:style>
  <w:style w:type="character" w:styleId="1038" w:customStyle="1">
    <w:name w:val="Колонтитул + Times New Roman;4 pt;Полужирный;Интервал 0 pt"/>
    <w:rPr>
      <w:rFonts w:ascii="Times New Roman" w:hAnsi="Times New Roman" w:eastAsia="Times New Roman" w:cs="Times New Roman"/>
      <w:b/>
      <w:bCs/>
      <w:color w:val="000000"/>
      <w:spacing w:val="10"/>
      <w:position w:val="0"/>
      <w:sz w:val="8"/>
      <w:szCs w:val="8"/>
      <w:u w:val="none"/>
      <w:lang w:val="ru-RU" w:eastAsia="ru-RU" w:bidi="ru-RU"/>
    </w:rPr>
  </w:style>
  <w:style w:type="character" w:styleId="1039" w:customStyle="1">
    <w:name w:val="Колонтитул + Times New Roman;4 pt;Интервал 2 pt"/>
    <w:rPr>
      <w:rFonts w:ascii="Times New Roman" w:hAnsi="Times New Roman" w:eastAsia="Times New Roman" w:cs="Times New Roman"/>
      <w:color w:val="000000"/>
      <w:spacing w:val="40"/>
      <w:position w:val="0"/>
      <w:sz w:val="8"/>
      <w:szCs w:val="8"/>
      <w:u w:val="none"/>
      <w:lang w:val="ru-RU" w:eastAsia="ru-RU" w:bidi="ru-RU"/>
    </w:rPr>
  </w:style>
  <w:style w:type="character" w:styleId="1040" w:customStyle="1">
    <w:name w:val="Колонтитул + 4 pt;Интервал 0 pt"/>
    <w:rPr>
      <w:rFonts w:ascii="Arial" w:hAnsi="Arial" w:eastAsia="Arial" w:cs="Arial"/>
      <w:color w:val="000000"/>
      <w:spacing w:val="10"/>
      <w:position w:val="0"/>
      <w:sz w:val="8"/>
      <w:szCs w:val="8"/>
      <w:u w:val="none"/>
      <w:lang w:val="ru-RU" w:eastAsia="ru-RU" w:bidi="ru-RU"/>
    </w:rPr>
  </w:style>
  <w:style w:type="character" w:styleId="1041" w:customStyle="1">
    <w:name w:val="Колонтитул + Times New Roman;4 pt;Курсив;Интервал 1 pt"/>
    <w:rPr>
      <w:rFonts w:ascii="Times New Roman" w:hAnsi="Times New Roman" w:eastAsia="Times New Roman" w:cs="Times New Roman"/>
      <w:i/>
      <w:iCs/>
      <w:color w:val="000000"/>
      <w:spacing w:val="30"/>
      <w:position w:val="0"/>
      <w:sz w:val="8"/>
      <w:szCs w:val="8"/>
      <w:u w:val="none"/>
      <w:lang w:val="ru-RU" w:eastAsia="ru-RU" w:bidi="ru-RU"/>
    </w:rPr>
  </w:style>
  <w:style w:type="character" w:styleId="1042" w:customStyle="1">
    <w:name w:val="Колонтитул + Gulim;4 pt"/>
    <w:rPr>
      <w:rFonts w:ascii="Gulim" w:hAnsi="Gulim" w:eastAsia="Gulim" w:cs="Gulim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styleId="1043" w:customStyle="1">
    <w:name w:val="Основной текст (2) + 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1044" w:customStyle="1">
    <w:name w:val="Заголовок №1_"/>
    <w:link w:val="1060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character" w:styleId="1045" w:customStyle="1">
    <w:name w:val="Колонтитул + 4 pt;Масштаб 150%"/>
    <w:rPr>
      <w:rFonts w:ascii="Arial" w:hAnsi="Arial" w:eastAsia="Arial" w:cs="Arial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styleId="1046" w:customStyle="1">
    <w:name w:val="Колонтитул + Trebuchet MS;4 pt;Курсив;Интервал 0 pt"/>
    <w:rPr>
      <w:rFonts w:ascii="Trebuchet MS" w:hAnsi="Trebuchet MS" w:eastAsia="Trebuchet MS" w:cs="Trebuchet MS"/>
      <w:i/>
      <w:iCs/>
      <w:color w:val="000000"/>
      <w:spacing w:val="10"/>
      <w:position w:val="0"/>
      <w:sz w:val="8"/>
      <w:szCs w:val="8"/>
      <w:u w:val="none"/>
      <w:lang w:val="ru-RU" w:eastAsia="ru-RU" w:bidi="ru-RU"/>
    </w:rPr>
  </w:style>
  <w:style w:type="character" w:styleId="1047" w:customStyle="1">
    <w:name w:val="Основной текст (2) + 13 pt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1048" w:customStyle="1">
    <w:name w:val="Основной текст (2) + Arial;10 pt;Полужирный"/>
    <w:rPr>
      <w:rFonts w:ascii="Arial" w:hAnsi="Arial" w:eastAsia="Arial" w:cs="Arial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1049" w:customStyle="1">
    <w:name w:val="Колонтитул + 4 pt;Интервал 3 pt;Масштаб 150%"/>
    <w:rPr>
      <w:rFonts w:ascii="Arial" w:hAnsi="Arial" w:eastAsia="Arial" w:cs="Arial"/>
      <w:color w:val="000000"/>
      <w:spacing w:val="60"/>
      <w:position w:val="0"/>
      <w:sz w:val="8"/>
      <w:szCs w:val="8"/>
      <w:u w:val="none"/>
      <w:lang w:val="ru-RU" w:eastAsia="ru-RU" w:bidi="ru-RU"/>
    </w:rPr>
  </w:style>
  <w:style w:type="character" w:styleId="1050" w:customStyle="1">
    <w:name w:val="Колонтитул + Times New Roman;4 pt;Полужирный;Масштаб 200%"/>
    <w:rPr>
      <w:rFonts w:ascii="Times New Roman" w:hAnsi="Times New Roman" w:eastAsia="Times New Roman" w:cs="Times New Roman"/>
      <w:b/>
      <w:bCs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styleId="1051" w:customStyle="1">
    <w:name w:val="Основной текст (3) Exact"/>
    <w:rPr>
      <w:rFonts w:ascii="Arial" w:hAnsi="Arial" w:eastAsia="Arial" w:cs="Arial"/>
      <w:sz w:val="15"/>
      <w:szCs w:val="15"/>
      <w:u w:val="none"/>
    </w:rPr>
  </w:style>
  <w:style w:type="character" w:styleId="1052" w:customStyle="1">
    <w:name w:val="Основной текст (4) Exact"/>
    <w:rPr>
      <w:rFonts w:ascii="Gulim" w:hAnsi="Gulim" w:eastAsia="Gulim" w:cs="Gulim"/>
      <w:spacing w:val="0"/>
      <w:sz w:val="8"/>
      <w:szCs w:val="8"/>
      <w:u w:val="none"/>
    </w:rPr>
  </w:style>
  <w:style w:type="character" w:styleId="1053" w:customStyle="1">
    <w:name w:val="Основной текст (4) + Курсив Exact"/>
    <w:rPr>
      <w:rFonts w:ascii="Gulim" w:hAnsi="Gulim" w:eastAsia="Gulim" w:cs="Gulim"/>
      <w:i/>
      <w:iCs/>
      <w:spacing w:val="0"/>
      <w:sz w:val="8"/>
      <w:szCs w:val="8"/>
      <w:u w:val="none"/>
    </w:rPr>
  </w:style>
  <w:style w:type="character" w:styleId="1054" w:customStyle="1">
    <w:name w:val="Основной текст (2) + 16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styleId="1055" w:customStyle="1">
    <w:name w:val="Основной текст (3)_"/>
    <w:link w:val="1061"/>
    <w:rPr>
      <w:rFonts w:ascii="Arial" w:hAnsi="Arial" w:eastAsia="Arial" w:cs="Arial"/>
      <w:sz w:val="15"/>
      <w:szCs w:val="15"/>
      <w:shd w:val="clear" w:color="auto" w:fill="ffffff"/>
    </w:rPr>
  </w:style>
  <w:style w:type="character" w:styleId="1056" w:customStyle="1">
    <w:name w:val="Основной текст (4)_"/>
    <w:link w:val="1062"/>
    <w:rPr>
      <w:rFonts w:ascii="Gulim" w:hAnsi="Gulim" w:eastAsia="Gulim" w:cs="Gulim"/>
      <w:sz w:val="8"/>
      <w:szCs w:val="8"/>
      <w:shd w:val="clear" w:color="auto" w:fill="ffffff"/>
    </w:rPr>
  </w:style>
  <w:style w:type="character" w:styleId="1057" w:customStyle="1">
    <w:name w:val="Основной текст (4) + Интервал 1 pt"/>
    <w:rPr>
      <w:rFonts w:ascii="Gulim" w:hAnsi="Gulim" w:eastAsia="Gulim" w:cs="Gulim"/>
      <w:color w:val="000000"/>
      <w:spacing w:val="20"/>
      <w:position w:val="0"/>
      <w:sz w:val="8"/>
      <w:szCs w:val="8"/>
      <w:u w:val="none"/>
      <w:lang w:val="ru-RU" w:eastAsia="ru-RU" w:bidi="ru-RU"/>
    </w:rPr>
  </w:style>
  <w:style w:type="character" w:styleId="1058" w:customStyle="1">
    <w:name w:val="Основной текст (4) + Курсив"/>
    <w:rPr>
      <w:rFonts w:ascii="Gulim" w:hAnsi="Gulim" w:eastAsia="Gulim" w:cs="Gulim"/>
      <w:i/>
      <w:iCs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styleId="1059" w:customStyle="1">
    <w:name w:val="Колонтитул + Gulim;4 pt;Малые прописные"/>
    <w:rPr>
      <w:rFonts w:ascii="Gulim" w:hAnsi="Gulim" w:eastAsia="Gulim" w:cs="Gulim"/>
      <w:smallCaps/>
      <w:color w:val="000000"/>
      <w:spacing w:val="0"/>
      <w:position w:val="0"/>
      <w:sz w:val="8"/>
      <w:szCs w:val="8"/>
      <w:u w:val="none"/>
      <w:lang w:val="ru-RU" w:eastAsia="ru-RU" w:bidi="ru-RU"/>
    </w:rPr>
  </w:style>
  <w:style w:type="paragraph" w:styleId="1060" w:customStyle="1">
    <w:name w:val="Заголовок №1"/>
    <w:basedOn w:val="828"/>
    <w:link w:val="1044"/>
    <w:pPr>
      <w:ind w:hanging="1340"/>
      <w:jc w:val="both"/>
      <w:spacing w:before="300" w:line="360" w:lineRule="exac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1061" w:customStyle="1">
    <w:name w:val="Основной текст (3)"/>
    <w:basedOn w:val="828"/>
    <w:link w:val="1055"/>
    <w:pPr>
      <w:jc w:val="both"/>
      <w:spacing w:before="780" w:line="0" w:lineRule="atLeast"/>
      <w:shd w:val="clear" w:color="auto" w:fill="ffffff"/>
      <w:widowControl w:val="off"/>
    </w:pPr>
    <w:rPr>
      <w:rFonts w:ascii="Arial" w:hAnsi="Arial" w:eastAsia="Arial" w:cs="Arial"/>
      <w:sz w:val="15"/>
      <w:szCs w:val="15"/>
    </w:rPr>
  </w:style>
  <w:style w:type="paragraph" w:styleId="1062" w:customStyle="1">
    <w:name w:val="Основной текст (4)"/>
    <w:basedOn w:val="828"/>
    <w:link w:val="1056"/>
    <w:pPr>
      <w:jc w:val="both"/>
      <w:spacing w:line="0" w:lineRule="atLeast"/>
      <w:shd w:val="clear" w:color="auto" w:fill="ffffff"/>
      <w:widowControl w:val="off"/>
    </w:pPr>
    <w:rPr>
      <w:rFonts w:ascii="Gulim" w:hAnsi="Gulim" w:eastAsia="Gulim" w:cs="Gulim"/>
      <w:sz w:val="8"/>
      <w:szCs w:val="8"/>
    </w:rPr>
  </w:style>
  <w:style w:type="paragraph" w:styleId="106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opk_209</dc:creator>
  <cp:revision>121</cp:revision>
  <dcterms:created xsi:type="dcterms:W3CDTF">2020-09-04T02:36:00Z</dcterms:created>
  <dcterms:modified xsi:type="dcterms:W3CDTF">2023-08-04T08:53:57Z</dcterms:modified>
  <cp:version>917504</cp:version>
</cp:coreProperties>
</file>